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228D1" w14:textId="77777777" w:rsidR="00BB3EA1" w:rsidRPr="0027688B" w:rsidRDefault="00492547" w:rsidP="00BB3EA1">
      <w:pPr>
        <w:rPr>
          <w:rFonts w:ascii="Tahoma" w:hAnsi="Tahoma" w:cs="Tahoma"/>
          <w:b/>
          <w:bCs/>
          <w:color w:val="003E82"/>
          <w:sz w:val="34"/>
          <w:szCs w:val="34"/>
        </w:rPr>
      </w:pPr>
      <w:r>
        <w:rPr>
          <w:rFonts w:ascii="Tahoma" w:hAnsi="Tahoma" w:cs="Tahoma"/>
          <w:b/>
          <w:bCs/>
          <w:color w:val="003E82"/>
          <w:sz w:val="34"/>
          <w:szCs w:val="34"/>
        </w:rPr>
        <w:t>Annual housing data</w:t>
      </w:r>
      <w:r w:rsidR="007054AD">
        <w:rPr>
          <w:rFonts w:ascii="Tahoma" w:hAnsi="Tahoma" w:cs="Tahoma"/>
          <w:b/>
          <w:bCs/>
          <w:color w:val="003E82"/>
          <w:sz w:val="34"/>
          <w:szCs w:val="34"/>
        </w:rPr>
        <w:t xml:space="preserve"> briefing</w:t>
      </w:r>
    </w:p>
    <w:p w14:paraId="09049EDD" w14:textId="2B481E8D" w:rsidR="00BB3EA1" w:rsidRDefault="00B64EAD" w:rsidP="00BB3EA1">
      <w:pPr>
        <w:pStyle w:val="paragraph"/>
        <w:spacing w:before="0" w:beforeAutospacing="0" w:after="0" w:afterAutospacing="0" w:line="276" w:lineRule="auto"/>
        <w:textAlignment w:val="baseline"/>
        <w:rPr>
          <w:rFonts w:ascii="Tahoma" w:hAnsi="Tahoma" w:cs="Tahoma"/>
          <w:b/>
          <w:bCs/>
          <w:color w:val="008D9B"/>
          <w:sz w:val="32"/>
          <w:szCs w:val="32"/>
        </w:rPr>
      </w:pPr>
      <w:r>
        <w:rPr>
          <w:rFonts w:ascii="Tahoma" w:hAnsi="Tahoma" w:cs="Tahoma"/>
          <w:b/>
          <w:bCs/>
          <w:color w:val="008D9B"/>
          <w:sz w:val="32"/>
          <w:szCs w:val="32"/>
        </w:rPr>
        <w:t>August</w:t>
      </w:r>
      <w:r w:rsidR="007054AD">
        <w:rPr>
          <w:rFonts w:ascii="Tahoma" w:hAnsi="Tahoma" w:cs="Tahoma"/>
          <w:b/>
          <w:bCs/>
          <w:color w:val="008D9B"/>
          <w:sz w:val="32"/>
          <w:szCs w:val="32"/>
        </w:rPr>
        <w:t xml:space="preserve"> 2021</w:t>
      </w:r>
    </w:p>
    <w:p w14:paraId="114F3BF6" w14:textId="77777777" w:rsidR="00BB3EA1" w:rsidRDefault="00BB3EA1" w:rsidP="00BB3EA1">
      <w:pPr>
        <w:pStyle w:val="paragraph"/>
        <w:spacing w:before="0" w:beforeAutospacing="0" w:after="0" w:afterAutospacing="0" w:line="276" w:lineRule="auto"/>
        <w:textAlignment w:val="baseline"/>
        <w:rPr>
          <w:rFonts w:ascii="Tahoma" w:hAnsi="Tahoma" w:cs="Tahoma"/>
          <w:b/>
          <w:bCs/>
          <w:color w:val="008D9B"/>
          <w:sz w:val="32"/>
          <w:szCs w:val="32"/>
        </w:rPr>
      </w:pPr>
    </w:p>
    <w:p w14:paraId="41A1AA6F" w14:textId="49B4C14C" w:rsidR="006F0A9E" w:rsidRDefault="006F0A9E">
      <w:pPr>
        <w:pStyle w:val="paragraph"/>
        <w:spacing w:before="0" w:beforeAutospacing="0" w:after="0" w:afterAutospacing="0" w:line="276" w:lineRule="auto"/>
        <w:textAlignment w:val="baseline"/>
        <w:rPr>
          <w:rFonts w:ascii="Tahoma" w:hAnsi="Tahoma" w:cs="Tahoma"/>
          <w:b/>
          <w:bCs/>
        </w:rPr>
      </w:pPr>
      <w:r w:rsidRPr="2E32ED18">
        <w:rPr>
          <w:rFonts w:ascii="Tahoma" w:hAnsi="Tahoma" w:cs="Tahoma"/>
          <w:b/>
          <w:bCs/>
        </w:rPr>
        <w:t>Executive summary</w:t>
      </w:r>
    </w:p>
    <w:p w14:paraId="5717C059" w14:textId="2C7E0610" w:rsidR="0050316B" w:rsidRDefault="73D97D0C" w:rsidP="49FFB752">
      <w:pPr>
        <w:pStyle w:val="paragraph"/>
        <w:spacing w:before="0" w:beforeAutospacing="0" w:after="0" w:afterAutospacing="0" w:line="276" w:lineRule="auto"/>
        <w:textAlignment w:val="baseline"/>
        <w:rPr>
          <w:rFonts w:ascii="Tahoma" w:hAnsi="Tahoma" w:cs="Tahoma"/>
        </w:rPr>
      </w:pPr>
      <w:r w:rsidRPr="49FFB752">
        <w:rPr>
          <w:rFonts w:ascii="Tahoma" w:hAnsi="Tahoma" w:cs="Tahoma"/>
        </w:rPr>
        <w:t xml:space="preserve">Over 50,000 pieces of housing advice were given out by the Citizens Advice network in Scotland between April 2020 and March 2021. </w:t>
      </w:r>
      <w:r w:rsidR="19EC6CF2" w:rsidRPr="49FFB752">
        <w:rPr>
          <w:rFonts w:ascii="Tahoma" w:hAnsi="Tahoma" w:cs="Tahoma"/>
        </w:rPr>
        <w:t>In 2020-21</w:t>
      </w:r>
      <w:r w:rsidR="678BBB4E" w:rsidRPr="49FFB752">
        <w:rPr>
          <w:rFonts w:ascii="Tahoma" w:hAnsi="Tahoma" w:cs="Tahoma"/>
        </w:rPr>
        <w:t>,</w:t>
      </w:r>
      <w:r w:rsidR="19EC6CF2" w:rsidRPr="49FFB752">
        <w:rPr>
          <w:rFonts w:ascii="Tahoma" w:hAnsi="Tahoma" w:cs="Tahoma"/>
        </w:rPr>
        <w:t xml:space="preserve"> h</w:t>
      </w:r>
      <w:r w:rsidR="00AB345D" w:rsidRPr="49FFB752">
        <w:rPr>
          <w:rFonts w:ascii="Tahoma" w:hAnsi="Tahoma" w:cs="Tahoma"/>
        </w:rPr>
        <w:t>ousing</w:t>
      </w:r>
      <w:r w:rsidR="53E35597" w:rsidRPr="49FFB752">
        <w:rPr>
          <w:rFonts w:ascii="Tahoma" w:hAnsi="Tahoma" w:cs="Tahoma"/>
        </w:rPr>
        <w:t xml:space="preserve"> advice</w:t>
      </w:r>
      <w:r w:rsidR="00D2417A" w:rsidRPr="49FFB752">
        <w:rPr>
          <w:rFonts w:ascii="Tahoma" w:hAnsi="Tahoma" w:cs="Tahoma"/>
        </w:rPr>
        <w:t xml:space="preserve"> </w:t>
      </w:r>
      <w:r w:rsidR="70A49704" w:rsidRPr="49FFB752">
        <w:rPr>
          <w:rFonts w:ascii="Tahoma" w:hAnsi="Tahoma" w:cs="Tahoma"/>
        </w:rPr>
        <w:t>grew</w:t>
      </w:r>
      <w:r w:rsidR="00AB345D" w:rsidRPr="49FFB752">
        <w:rPr>
          <w:rFonts w:ascii="Tahoma" w:hAnsi="Tahoma" w:cs="Tahoma"/>
        </w:rPr>
        <w:t xml:space="preserve"> as a proportion of all advice, and the</w:t>
      </w:r>
      <w:r w:rsidR="00CA67EA" w:rsidRPr="49FFB752">
        <w:rPr>
          <w:rFonts w:ascii="Tahoma" w:hAnsi="Tahoma" w:cs="Tahoma"/>
        </w:rPr>
        <w:t xml:space="preserve"> types of housing advice people </w:t>
      </w:r>
      <w:r w:rsidR="16433C89" w:rsidRPr="49FFB752">
        <w:rPr>
          <w:rFonts w:ascii="Tahoma" w:hAnsi="Tahoma" w:cs="Tahoma"/>
        </w:rPr>
        <w:t>were</w:t>
      </w:r>
      <w:r w:rsidR="00CA67EA" w:rsidRPr="49FFB752">
        <w:rPr>
          <w:rFonts w:ascii="Tahoma" w:hAnsi="Tahoma" w:cs="Tahoma"/>
        </w:rPr>
        <w:t xml:space="preserve"> seeking </w:t>
      </w:r>
      <w:r w:rsidR="24AA357B" w:rsidRPr="49FFB752">
        <w:rPr>
          <w:rFonts w:ascii="Tahoma" w:hAnsi="Tahoma" w:cs="Tahoma"/>
        </w:rPr>
        <w:t>also</w:t>
      </w:r>
      <w:r w:rsidR="00DD5D42" w:rsidRPr="49FFB752">
        <w:rPr>
          <w:rFonts w:ascii="Tahoma" w:hAnsi="Tahoma" w:cs="Tahoma"/>
        </w:rPr>
        <w:t xml:space="preserve"> changed</w:t>
      </w:r>
      <w:r w:rsidR="01BDAA78" w:rsidRPr="49FFB752">
        <w:rPr>
          <w:rFonts w:ascii="Tahoma" w:hAnsi="Tahoma" w:cs="Tahoma"/>
        </w:rPr>
        <w:t>, compared to 2019-20</w:t>
      </w:r>
      <w:r w:rsidR="0050316B" w:rsidRPr="49FFB752">
        <w:rPr>
          <w:rFonts w:ascii="Tahoma" w:hAnsi="Tahoma" w:cs="Tahoma"/>
        </w:rPr>
        <w:t>.</w:t>
      </w:r>
      <w:r w:rsidR="024FCFDF" w:rsidRPr="49FFB752">
        <w:rPr>
          <w:rFonts w:ascii="Tahoma" w:hAnsi="Tahoma" w:cs="Tahoma"/>
        </w:rPr>
        <w:t xml:space="preserve"> </w:t>
      </w:r>
    </w:p>
    <w:p w14:paraId="33FD7AC2" w14:textId="6F1CB9CD" w:rsidR="0050316B" w:rsidRDefault="0050316B" w:rsidP="00BB3EA1">
      <w:pPr>
        <w:pStyle w:val="paragraph"/>
        <w:spacing w:before="0" w:beforeAutospacing="0" w:after="0" w:afterAutospacing="0" w:line="276" w:lineRule="auto"/>
        <w:textAlignment w:val="baseline"/>
        <w:rPr>
          <w:rFonts w:ascii="Tahoma" w:hAnsi="Tahoma" w:cs="Tahoma"/>
          <w:bCs/>
        </w:rPr>
      </w:pPr>
    </w:p>
    <w:p w14:paraId="3B60C403" w14:textId="7C9DC899" w:rsidR="0050316B" w:rsidRDefault="00B461C4" w:rsidP="2E32ED18">
      <w:pPr>
        <w:pStyle w:val="paragraph"/>
        <w:spacing w:before="0" w:beforeAutospacing="0" w:after="0" w:afterAutospacing="0" w:line="276" w:lineRule="auto"/>
        <w:textAlignment w:val="baseline"/>
        <w:rPr>
          <w:rFonts w:ascii="Tahoma" w:hAnsi="Tahoma" w:cs="Tahoma"/>
        </w:rPr>
      </w:pPr>
      <w:r w:rsidRPr="2E32ED18">
        <w:rPr>
          <w:rFonts w:ascii="Tahoma" w:hAnsi="Tahoma" w:cs="Tahoma"/>
        </w:rPr>
        <w:t xml:space="preserve">Our statistics suggest </w:t>
      </w:r>
      <w:r w:rsidR="27F9E71E" w:rsidRPr="2E32ED18">
        <w:rPr>
          <w:rFonts w:ascii="Tahoma" w:hAnsi="Tahoma" w:cs="Tahoma"/>
        </w:rPr>
        <w:t xml:space="preserve">the </w:t>
      </w:r>
      <w:r w:rsidR="34E74C94" w:rsidRPr="2E32ED18">
        <w:rPr>
          <w:rFonts w:ascii="Tahoma" w:hAnsi="Tahoma" w:cs="Tahoma"/>
        </w:rPr>
        <w:t xml:space="preserve">COVID-19 </w:t>
      </w:r>
      <w:r w:rsidR="27F9E71E" w:rsidRPr="2E32ED18">
        <w:rPr>
          <w:rFonts w:ascii="Tahoma" w:hAnsi="Tahoma" w:cs="Tahoma"/>
        </w:rPr>
        <w:t>pandemic</w:t>
      </w:r>
      <w:r w:rsidR="3DD6CA63" w:rsidRPr="2E32ED18">
        <w:rPr>
          <w:rFonts w:ascii="Tahoma" w:hAnsi="Tahoma" w:cs="Tahoma"/>
        </w:rPr>
        <w:t>,</w:t>
      </w:r>
      <w:r w:rsidR="27F9E71E" w:rsidRPr="2E32ED18">
        <w:rPr>
          <w:rFonts w:ascii="Tahoma" w:hAnsi="Tahoma" w:cs="Tahoma"/>
        </w:rPr>
        <w:t xml:space="preserve"> </w:t>
      </w:r>
      <w:r w:rsidR="67FC64E6" w:rsidRPr="2E32ED18">
        <w:rPr>
          <w:rFonts w:ascii="Tahoma" w:hAnsi="Tahoma" w:cs="Tahoma"/>
        </w:rPr>
        <w:t xml:space="preserve">its </w:t>
      </w:r>
      <w:r w:rsidR="27F9E71E" w:rsidRPr="2E32ED18">
        <w:rPr>
          <w:rFonts w:ascii="Tahoma" w:hAnsi="Tahoma" w:cs="Tahoma"/>
        </w:rPr>
        <w:t xml:space="preserve">associated restrictions </w:t>
      </w:r>
      <w:r w:rsidR="20317311" w:rsidRPr="2E32ED18">
        <w:rPr>
          <w:rFonts w:ascii="Tahoma" w:hAnsi="Tahoma" w:cs="Tahoma"/>
        </w:rPr>
        <w:t xml:space="preserve">and protective measures </w:t>
      </w:r>
      <w:r w:rsidR="000B298C" w:rsidRPr="2E32ED18">
        <w:rPr>
          <w:rFonts w:ascii="Tahoma" w:hAnsi="Tahoma" w:cs="Tahoma"/>
        </w:rPr>
        <w:t>brought housing issues to the forefront, as people spent more time within the four walls of their home.</w:t>
      </w:r>
      <w:r w:rsidR="48AD388C" w:rsidRPr="2E32ED18">
        <w:rPr>
          <w:rFonts w:ascii="Tahoma" w:hAnsi="Tahoma" w:cs="Tahoma"/>
        </w:rPr>
        <w:t xml:space="preserve"> </w:t>
      </w:r>
      <w:r w:rsidR="000B298C" w:rsidRPr="2E32ED18">
        <w:rPr>
          <w:rFonts w:ascii="Tahoma" w:hAnsi="Tahoma" w:cs="Tahoma"/>
        </w:rPr>
        <w:t xml:space="preserve"> </w:t>
      </w:r>
    </w:p>
    <w:p w14:paraId="20A60F04" w14:textId="673D290B" w:rsidR="00550A5B" w:rsidRDefault="00550A5B" w:rsidP="2E32ED18">
      <w:pPr>
        <w:pStyle w:val="paragraph"/>
        <w:spacing w:before="0" w:beforeAutospacing="0" w:after="0" w:afterAutospacing="0" w:line="276" w:lineRule="auto"/>
        <w:textAlignment w:val="baseline"/>
        <w:rPr>
          <w:rFonts w:ascii="Tahoma" w:hAnsi="Tahoma" w:cs="Tahoma"/>
        </w:rPr>
      </w:pPr>
    </w:p>
    <w:p w14:paraId="461156AD" w14:textId="7D01FF51" w:rsidR="4C094550" w:rsidRDefault="4C094550" w:rsidP="2E32ED18">
      <w:pPr>
        <w:pStyle w:val="paragraph"/>
        <w:spacing w:before="0" w:beforeAutospacing="0" w:after="0" w:afterAutospacing="0" w:line="276" w:lineRule="auto"/>
      </w:pPr>
      <w:r w:rsidRPr="2E32ED18">
        <w:rPr>
          <w:rFonts w:ascii="Tahoma" w:hAnsi="Tahoma" w:cs="Tahoma"/>
        </w:rPr>
        <w:t>In particular, our statistics show that year-to-year:</w:t>
      </w:r>
    </w:p>
    <w:p w14:paraId="28384320" w14:textId="1D8C730A" w:rsidR="4C094550" w:rsidRDefault="4C094550" w:rsidP="004C3210">
      <w:pPr>
        <w:pStyle w:val="paragraph"/>
        <w:numPr>
          <w:ilvl w:val="0"/>
          <w:numId w:val="22"/>
        </w:numPr>
        <w:spacing w:before="0" w:beforeAutospacing="0" w:after="0" w:afterAutospacing="0" w:line="276" w:lineRule="auto"/>
        <w:rPr>
          <w:rFonts w:eastAsiaTheme="minorEastAsia"/>
        </w:rPr>
      </w:pPr>
      <w:r w:rsidRPr="2E32ED18">
        <w:rPr>
          <w:rFonts w:ascii="Tahoma" w:hAnsi="Tahoma" w:cs="Tahoma"/>
        </w:rPr>
        <w:t>The proportion of housing advice given on the private rented sector (PRS) overall has increased</w:t>
      </w:r>
      <w:r w:rsidR="115CBDAD" w:rsidRPr="2E32ED18">
        <w:rPr>
          <w:rFonts w:ascii="Tahoma" w:hAnsi="Tahoma" w:cs="Tahoma"/>
        </w:rPr>
        <w:t>.</w:t>
      </w:r>
    </w:p>
    <w:p w14:paraId="091D310A" w14:textId="19FFF04C" w:rsidR="4C094550" w:rsidRDefault="4C094550" w:rsidP="004C3210">
      <w:pPr>
        <w:pStyle w:val="paragraph"/>
        <w:numPr>
          <w:ilvl w:val="0"/>
          <w:numId w:val="22"/>
        </w:numPr>
        <w:spacing w:before="0" w:beforeAutospacing="0" w:after="0" w:afterAutospacing="0" w:line="276" w:lineRule="auto"/>
      </w:pPr>
      <w:r w:rsidRPr="2E32ED18">
        <w:rPr>
          <w:rFonts w:ascii="Tahoma" w:hAnsi="Tahoma" w:cs="Tahoma"/>
        </w:rPr>
        <w:t xml:space="preserve">Within PRS advice, </w:t>
      </w:r>
      <w:r w:rsidR="3DAFEF5A" w:rsidRPr="49FFB752">
        <w:rPr>
          <w:rFonts w:ascii="Tahoma" w:hAnsi="Tahoma" w:cs="Tahoma"/>
        </w:rPr>
        <w:t xml:space="preserve">the proportion of advice on </w:t>
      </w:r>
      <w:r w:rsidRPr="2E32ED18">
        <w:rPr>
          <w:rFonts w:ascii="Tahoma" w:hAnsi="Tahoma" w:cs="Tahoma"/>
        </w:rPr>
        <w:t xml:space="preserve">rent and repairs issues </w:t>
      </w:r>
      <w:r w:rsidRPr="49FFB752">
        <w:rPr>
          <w:rFonts w:ascii="Tahoma" w:hAnsi="Tahoma" w:cs="Tahoma"/>
        </w:rPr>
        <w:t>ha</w:t>
      </w:r>
      <w:r w:rsidR="770D19E9" w:rsidRPr="49FFB752">
        <w:rPr>
          <w:rFonts w:ascii="Tahoma" w:hAnsi="Tahoma" w:cs="Tahoma"/>
        </w:rPr>
        <w:t>s</w:t>
      </w:r>
      <w:r w:rsidRPr="2E32ED18">
        <w:rPr>
          <w:rFonts w:ascii="Tahoma" w:hAnsi="Tahoma" w:cs="Tahoma"/>
        </w:rPr>
        <w:t xml:space="preserve"> increased</w:t>
      </w:r>
      <w:r w:rsidR="71040318" w:rsidRPr="2E32ED18">
        <w:rPr>
          <w:rFonts w:ascii="Tahoma" w:hAnsi="Tahoma" w:cs="Tahoma"/>
        </w:rPr>
        <w:t>.</w:t>
      </w:r>
    </w:p>
    <w:p w14:paraId="2DE21F0F" w14:textId="69D38B10" w:rsidR="1440EF8B" w:rsidRDefault="1440EF8B" w:rsidP="004C3210">
      <w:pPr>
        <w:pStyle w:val="paragraph"/>
        <w:numPr>
          <w:ilvl w:val="0"/>
          <w:numId w:val="22"/>
        </w:numPr>
        <w:spacing w:before="0" w:beforeAutospacing="0" w:after="0" w:afterAutospacing="0" w:line="276" w:lineRule="auto"/>
      </w:pPr>
      <w:r w:rsidRPr="2E32ED18">
        <w:rPr>
          <w:rFonts w:ascii="Tahoma" w:hAnsi="Tahoma" w:cs="Tahoma"/>
        </w:rPr>
        <w:t xml:space="preserve">The proportion of housing advice related to environmental and neighbour issues is </w:t>
      </w:r>
      <w:r w:rsidR="356BFC6F" w:rsidRPr="2E32ED18">
        <w:rPr>
          <w:rFonts w:ascii="Tahoma" w:hAnsi="Tahoma" w:cs="Tahoma"/>
        </w:rPr>
        <w:t xml:space="preserve">also </w:t>
      </w:r>
      <w:r w:rsidRPr="2E32ED18">
        <w:rPr>
          <w:rFonts w:ascii="Tahoma" w:hAnsi="Tahoma" w:cs="Tahoma"/>
        </w:rPr>
        <w:t xml:space="preserve">up, while advice on </w:t>
      </w:r>
      <w:r w:rsidR="5F2ECF62" w:rsidRPr="2E32ED18">
        <w:rPr>
          <w:rFonts w:ascii="Tahoma" w:hAnsi="Tahoma" w:cs="Tahoma"/>
        </w:rPr>
        <w:t xml:space="preserve">local authority housing is slightly down and </w:t>
      </w:r>
      <w:r w:rsidR="12A815DF" w:rsidRPr="2E32ED18">
        <w:rPr>
          <w:rFonts w:ascii="Tahoma" w:hAnsi="Tahoma" w:cs="Tahoma"/>
        </w:rPr>
        <w:t xml:space="preserve">advice on </w:t>
      </w:r>
      <w:r w:rsidR="5F2ECF62" w:rsidRPr="2E32ED18">
        <w:rPr>
          <w:rFonts w:ascii="Tahoma" w:hAnsi="Tahoma" w:cs="Tahoma"/>
        </w:rPr>
        <w:t xml:space="preserve">other registered </w:t>
      </w:r>
      <w:r w:rsidR="5E907F9D" w:rsidRPr="2E32ED18">
        <w:rPr>
          <w:rFonts w:ascii="Tahoma" w:hAnsi="Tahoma" w:cs="Tahoma"/>
        </w:rPr>
        <w:t>social landlord (RSL) issues has stayed largely stable.</w:t>
      </w:r>
    </w:p>
    <w:p w14:paraId="06C98D82" w14:textId="2796248A" w:rsidR="5E907F9D" w:rsidRDefault="5E907F9D" w:rsidP="004C3210">
      <w:pPr>
        <w:pStyle w:val="paragraph"/>
        <w:numPr>
          <w:ilvl w:val="0"/>
          <w:numId w:val="22"/>
        </w:numPr>
        <w:spacing w:before="0" w:beforeAutospacing="0" w:after="0" w:afterAutospacing="0" w:line="276" w:lineRule="auto"/>
      </w:pPr>
      <w:r w:rsidRPr="2E32ED18">
        <w:rPr>
          <w:rFonts w:ascii="Tahoma" w:hAnsi="Tahoma" w:cs="Tahoma"/>
        </w:rPr>
        <w:t xml:space="preserve">The proportion of threatened homelessness advice is also down, but other homelessness-related advice </w:t>
      </w:r>
      <w:r w:rsidR="7C08BCAF" w:rsidRPr="2E32ED18">
        <w:rPr>
          <w:rFonts w:ascii="Tahoma" w:hAnsi="Tahoma" w:cs="Tahoma"/>
        </w:rPr>
        <w:t>areas show a more complex picture.</w:t>
      </w:r>
    </w:p>
    <w:p w14:paraId="3B07E42E" w14:textId="2B6C6AE6" w:rsidR="00146D06" w:rsidRPr="00146D06" w:rsidRDefault="4A7F028E" w:rsidP="00146D06">
      <w:pPr>
        <w:pStyle w:val="paragraph"/>
        <w:numPr>
          <w:ilvl w:val="0"/>
          <w:numId w:val="22"/>
        </w:numPr>
        <w:spacing w:before="0" w:beforeAutospacing="0" w:after="0" w:afterAutospacing="0" w:line="276" w:lineRule="auto"/>
        <w:rPr>
          <w:rFonts w:eastAsiaTheme="minorEastAsia"/>
        </w:rPr>
      </w:pPr>
      <w:r w:rsidRPr="2E32ED18">
        <w:rPr>
          <w:rFonts w:ascii="Tahoma" w:hAnsi="Tahoma" w:cs="Tahoma"/>
        </w:rPr>
        <w:t xml:space="preserve">Local authority arrears advice remains the most common type of housing arrears advice sought, followed by RSL arrears advice, but both have decreased in the last year, whereas PRS arrears advice has increased. </w:t>
      </w:r>
    </w:p>
    <w:p w14:paraId="71E3A654" w14:textId="5DCF4464" w:rsidR="00550A5B" w:rsidRDefault="3929D627" w:rsidP="49FFB752">
      <w:pPr>
        <w:pStyle w:val="paragraph"/>
        <w:rPr>
          <w:rFonts w:ascii="Tahoma" w:hAnsi="Tahoma" w:cs="Tahoma"/>
        </w:rPr>
      </w:pPr>
      <w:r w:rsidRPr="49FFB752">
        <w:rPr>
          <w:rFonts w:ascii="Tahoma" w:hAnsi="Tahoma" w:cs="Tahoma"/>
        </w:rPr>
        <w:t>These trends suggest that private tenants have perhaps seen their circumstances change most year-to-year and</w:t>
      </w:r>
      <w:r w:rsidR="2D650DA3" w:rsidRPr="49FFB752">
        <w:rPr>
          <w:rFonts w:ascii="Tahoma" w:hAnsi="Tahoma" w:cs="Tahoma"/>
        </w:rPr>
        <w:t xml:space="preserve"> require support</w:t>
      </w:r>
      <w:r w:rsidR="5E0BF677" w:rsidRPr="49FFB752">
        <w:rPr>
          <w:rFonts w:ascii="Tahoma" w:hAnsi="Tahoma" w:cs="Tahoma"/>
        </w:rPr>
        <w:t xml:space="preserve"> to see them safely through the pandemic and beyond</w:t>
      </w:r>
      <w:r w:rsidR="2D650DA3" w:rsidRPr="49FFB752">
        <w:rPr>
          <w:rFonts w:ascii="Tahoma" w:hAnsi="Tahoma" w:cs="Tahoma"/>
        </w:rPr>
        <w:t xml:space="preserve">. </w:t>
      </w:r>
      <w:r w:rsidR="1C9B7231" w:rsidRPr="49FFB752">
        <w:rPr>
          <w:rFonts w:ascii="Tahoma" w:hAnsi="Tahoma" w:cs="Tahoma"/>
        </w:rPr>
        <w:t>We recognise and welcome the efforts made by the Scottish Government to offer protections and support for ren</w:t>
      </w:r>
      <w:r w:rsidR="48A62FD0" w:rsidRPr="49FFB752">
        <w:rPr>
          <w:rFonts w:ascii="Tahoma" w:hAnsi="Tahoma" w:cs="Tahoma"/>
        </w:rPr>
        <w:t xml:space="preserve">ters, including the introduction of the new £10 million Tenant Grant Fund, and ask that </w:t>
      </w:r>
      <w:r w:rsidR="03B77C86" w:rsidRPr="49FFB752">
        <w:rPr>
          <w:rFonts w:ascii="Tahoma" w:hAnsi="Tahoma" w:cs="Tahoma"/>
        </w:rPr>
        <w:t>government and other stakeholders</w:t>
      </w:r>
      <w:r w:rsidR="5B55C0DA" w:rsidRPr="49FFB752">
        <w:rPr>
          <w:rFonts w:ascii="Tahoma" w:hAnsi="Tahoma" w:cs="Tahoma"/>
        </w:rPr>
        <w:t xml:space="preserve"> continue to</w:t>
      </w:r>
      <w:r w:rsidR="03B77C86" w:rsidRPr="49FFB752">
        <w:rPr>
          <w:rFonts w:ascii="Tahoma" w:hAnsi="Tahoma" w:cs="Tahoma"/>
        </w:rPr>
        <w:t xml:space="preserve"> heed the types of housing advice sought by people across Scotland</w:t>
      </w:r>
      <w:r w:rsidR="2437592B" w:rsidRPr="49FFB752">
        <w:rPr>
          <w:rFonts w:ascii="Tahoma" w:hAnsi="Tahoma" w:cs="Tahoma"/>
        </w:rPr>
        <w:t xml:space="preserve">. </w:t>
      </w:r>
    </w:p>
    <w:p w14:paraId="19811CAD" w14:textId="77777777" w:rsidR="00146D06" w:rsidRPr="00146D06" w:rsidRDefault="00146D06" w:rsidP="00146D06">
      <w:pPr>
        <w:rPr>
          <w:rFonts w:ascii="Tahoma" w:hAnsi="Tahoma" w:cs="Tahoma"/>
          <w:sz w:val="24"/>
          <w:szCs w:val="24"/>
        </w:rPr>
      </w:pPr>
      <w:r w:rsidRPr="00146D06">
        <w:rPr>
          <w:rFonts w:ascii="Tahoma" w:hAnsi="Tahoma" w:cs="Tahoma"/>
          <w:b/>
          <w:color w:val="4472C4" w:themeColor="accent1"/>
          <w:sz w:val="24"/>
          <w:szCs w:val="24"/>
        </w:rPr>
        <w:t xml:space="preserve">CAS recommends: </w:t>
      </w:r>
    </w:p>
    <w:p w14:paraId="06FE0847" w14:textId="4257E7B0" w:rsidR="55C6C94E" w:rsidRDefault="55C6C94E" w:rsidP="004C3210">
      <w:pPr>
        <w:pStyle w:val="paragraph"/>
        <w:numPr>
          <w:ilvl w:val="0"/>
          <w:numId w:val="21"/>
        </w:numPr>
        <w:spacing w:before="0" w:beforeAutospacing="0" w:after="0" w:afterAutospacing="0" w:line="276" w:lineRule="auto"/>
        <w:rPr>
          <w:rFonts w:asciiTheme="minorHAnsi" w:eastAsiaTheme="minorEastAsia" w:hAnsiTheme="minorHAnsi" w:cstheme="minorBidi"/>
        </w:rPr>
      </w:pPr>
      <w:r w:rsidRPr="2E32ED18">
        <w:rPr>
          <w:rFonts w:ascii="Tahoma" w:hAnsi="Tahoma" w:cs="Tahoma"/>
        </w:rPr>
        <w:t xml:space="preserve">Ensuring PRS tenants get support to </w:t>
      </w:r>
      <w:r w:rsidR="4A510E7F" w:rsidRPr="2E32ED18">
        <w:rPr>
          <w:rFonts w:ascii="Tahoma" w:hAnsi="Tahoma" w:cs="Tahoma"/>
        </w:rPr>
        <w:t>keep</w:t>
      </w:r>
      <w:r w:rsidRPr="2E32ED18">
        <w:rPr>
          <w:rFonts w:ascii="Tahoma" w:hAnsi="Tahoma" w:cs="Tahoma"/>
        </w:rPr>
        <w:t xml:space="preserve"> their homes or move to homes that better suit them as we come out of the pandemic. </w:t>
      </w:r>
    </w:p>
    <w:p w14:paraId="7DD891E6" w14:textId="4D7101F4" w:rsidR="1899110B" w:rsidRDefault="1899110B" w:rsidP="004C3210">
      <w:pPr>
        <w:pStyle w:val="paragraph"/>
        <w:numPr>
          <w:ilvl w:val="0"/>
          <w:numId w:val="21"/>
        </w:numPr>
        <w:spacing w:before="0" w:beforeAutospacing="0" w:after="0" w:afterAutospacing="0" w:line="276" w:lineRule="auto"/>
      </w:pPr>
      <w:r w:rsidRPr="2E32ED18">
        <w:rPr>
          <w:rFonts w:ascii="Tahoma" w:hAnsi="Tahoma" w:cs="Tahoma"/>
        </w:rPr>
        <w:lastRenderedPageBreak/>
        <w:t>Using the opportunity of the new Rented Sector Strategy</w:t>
      </w:r>
      <w:r w:rsidR="425C61B7" w:rsidRPr="2E32ED18">
        <w:rPr>
          <w:rFonts w:ascii="Tahoma" w:hAnsi="Tahoma" w:cs="Tahoma"/>
        </w:rPr>
        <w:t>, Housing to 2040 and a new Housing Bill</w:t>
      </w:r>
      <w:r w:rsidRPr="2E32ED18">
        <w:rPr>
          <w:rFonts w:ascii="Tahoma" w:hAnsi="Tahoma" w:cs="Tahoma"/>
        </w:rPr>
        <w:t xml:space="preserve"> to fix longstanding issues for renters, exacerbated by the pandemic, especially around eviction rights and di</w:t>
      </w:r>
      <w:r w:rsidR="4AF4FB96" w:rsidRPr="2E32ED18">
        <w:rPr>
          <w:rFonts w:ascii="Tahoma" w:hAnsi="Tahoma" w:cs="Tahoma"/>
        </w:rPr>
        <w:t>sputes with landlords</w:t>
      </w:r>
      <w:r w:rsidRPr="2E32ED18">
        <w:rPr>
          <w:rFonts w:ascii="Tahoma" w:hAnsi="Tahoma" w:cs="Tahoma"/>
        </w:rPr>
        <w:t>.</w:t>
      </w:r>
    </w:p>
    <w:p w14:paraId="6B985A8C" w14:textId="471EB247" w:rsidR="1899110B" w:rsidRDefault="1899110B" w:rsidP="004C3210">
      <w:pPr>
        <w:pStyle w:val="paragraph"/>
        <w:numPr>
          <w:ilvl w:val="0"/>
          <w:numId w:val="21"/>
        </w:numPr>
        <w:spacing w:before="0" w:beforeAutospacing="0" w:after="0" w:afterAutospacing="0" w:line="276" w:lineRule="auto"/>
      </w:pPr>
      <w:r w:rsidRPr="2E32ED18">
        <w:rPr>
          <w:rFonts w:ascii="Tahoma" w:hAnsi="Tahoma" w:cs="Tahoma"/>
        </w:rPr>
        <w:t>Improving transparency in the PRS through more and better data collection on housing quality and rent levels</w:t>
      </w:r>
      <w:r w:rsidR="4E6FD0F8" w:rsidRPr="2E32ED18">
        <w:rPr>
          <w:rFonts w:ascii="Tahoma" w:hAnsi="Tahoma" w:cs="Tahoma"/>
        </w:rPr>
        <w:t>.</w:t>
      </w:r>
    </w:p>
    <w:p w14:paraId="4C9EC1B1" w14:textId="2D01FD39" w:rsidR="00364326" w:rsidRDefault="4E6FD0F8" w:rsidP="00A57D0A">
      <w:pPr>
        <w:pStyle w:val="paragraph"/>
        <w:numPr>
          <w:ilvl w:val="0"/>
          <w:numId w:val="23"/>
        </w:numPr>
        <w:spacing w:before="0" w:beforeAutospacing="0" w:after="0" w:afterAutospacing="0" w:line="276" w:lineRule="auto"/>
        <w:textAlignment w:val="baseline"/>
        <w:rPr>
          <w:rFonts w:ascii="Tahoma" w:hAnsi="Tahoma" w:cs="Tahoma"/>
          <w:bCs/>
        </w:rPr>
      </w:pPr>
      <w:r w:rsidRPr="2E32ED18">
        <w:rPr>
          <w:rFonts w:ascii="Tahoma" w:hAnsi="Tahoma" w:cs="Tahoma"/>
        </w:rPr>
        <w:t xml:space="preserve">Increasing access to truly affordable housing across all tenures, supported by a better </w:t>
      </w:r>
      <w:r w:rsidR="212AA22E" w:rsidRPr="2E32ED18">
        <w:rPr>
          <w:rFonts w:ascii="Tahoma" w:hAnsi="Tahoma" w:cs="Tahoma"/>
        </w:rPr>
        <w:t xml:space="preserve">shared </w:t>
      </w:r>
      <w:r w:rsidRPr="2E32ED18">
        <w:rPr>
          <w:rFonts w:ascii="Tahoma" w:hAnsi="Tahoma" w:cs="Tahoma"/>
        </w:rPr>
        <w:t xml:space="preserve">definition of affordability. </w:t>
      </w:r>
    </w:p>
    <w:p w14:paraId="7BA3859B" w14:textId="77777777" w:rsidR="00146D06" w:rsidRDefault="00146D06" w:rsidP="00BB3EA1">
      <w:pPr>
        <w:pStyle w:val="paragraph"/>
        <w:spacing w:before="0" w:beforeAutospacing="0" w:after="0" w:afterAutospacing="0" w:line="276" w:lineRule="auto"/>
        <w:textAlignment w:val="baseline"/>
        <w:rPr>
          <w:rFonts w:ascii="Tahoma" w:hAnsi="Tahoma" w:cs="Tahoma"/>
          <w:b/>
          <w:bCs/>
        </w:rPr>
      </w:pPr>
    </w:p>
    <w:p w14:paraId="4A90A06D" w14:textId="4B4981D8" w:rsidR="00220164" w:rsidRDefault="00146D06" w:rsidP="00BB3EA1">
      <w:pPr>
        <w:pStyle w:val="paragraph"/>
        <w:spacing w:before="0" w:beforeAutospacing="0" w:after="0" w:afterAutospacing="0" w:line="276" w:lineRule="auto"/>
        <w:textAlignment w:val="baseline"/>
        <w:rPr>
          <w:rFonts w:ascii="Tahoma" w:hAnsi="Tahoma" w:cs="Tahoma"/>
          <w:b/>
          <w:bCs/>
        </w:rPr>
      </w:pPr>
      <w:r>
        <w:rPr>
          <w:rFonts w:ascii="Tahoma" w:hAnsi="Tahoma" w:cs="Tahoma"/>
          <w:b/>
          <w:bCs/>
        </w:rPr>
        <w:t>Contents</w:t>
      </w:r>
    </w:p>
    <w:p w14:paraId="5E072318" w14:textId="3F1418B0" w:rsidR="00146D06" w:rsidRPr="00146D06" w:rsidRDefault="00146D06" w:rsidP="00146D06">
      <w:pPr>
        <w:pStyle w:val="paragraph"/>
        <w:numPr>
          <w:ilvl w:val="0"/>
          <w:numId w:val="24"/>
        </w:numPr>
        <w:spacing w:before="0" w:beforeAutospacing="0" w:after="0" w:afterAutospacing="0" w:line="276" w:lineRule="auto"/>
        <w:textAlignment w:val="baseline"/>
        <w:rPr>
          <w:rFonts w:ascii="Tahoma" w:hAnsi="Tahoma" w:cs="Tahoma"/>
        </w:rPr>
      </w:pPr>
      <w:r w:rsidRPr="00146D06">
        <w:rPr>
          <w:rFonts w:ascii="Tahoma" w:hAnsi="Tahoma" w:cs="Tahoma"/>
        </w:rPr>
        <w:t>Introduction</w:t>
      </w:r>
    </w:p>
    <w:p w14:paraId="0103F30E" w14:textId="04DEA6B2" w:rsidR="00146D06" w:rsidRPr="00146D06" w:rsidRDefault="00146D06" w:rsidP="00146D06">
      <w:pPr>
        <w:pStyle w:val="paragraph"/>
        <w:numPr>
          <w:ilvl w:val="0"/>
          <w:numId w:val="24"/>
        </w:numPr>
        <w:spacing w:before="0" w:beforeAutospacing="0" w:after="0" w:afterAutospacing="0" w:line="276" w:lineRule="auto"/>
        <w:textAlignment w:val="baseline"/>
        <w:rPr>
          <w:rFonts w:ascii="Tahoma" w:hAnsi="Tahoma" w:cs="Tahoma"/>
        </w:rPr>
      </w:pPr>
      <w:r w:rsidRPr="00146D06">
        <w:rPr>
          <w:rFonts w:ascii="Tahoma" w:hAnsi="Tahoma" w:cs="Tahoma"/>
        </w:rPr>
        <w:t>Housing as a proportion of all advice</w:t>
      </w:r>
    </w:p>
    <w:p w14:paraId="5F8DFAC6"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Most common types of housing advice</w:t>
      </w:r>
    </w:p>
    <w:p w14:paraId="27BC2E5C"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Private Rented Sector advice</w:t>
      </w:r>
    </w:p>
    <w:p w14:paraId="59534088"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Environmental and neighbour advice</w:t>
      </w:r>
    </w:p>
    <w:p w14:paraId="3CDB7952"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Advice on local authority housing</w:t>
      </w:r>
    </w:p>
    <w:p w14:paraId="57B5932D"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Advice on Registered Social Landlord housing</w:t>
      </w:r>
    </w:p>
    <w:p w14:paraId="71A8C84E"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Advice on homelessness</w:t>
      </w:r>
    </w:p>
    <w:p w14:paraId="2D58440A"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Advice on housing cost arrears</w:t>
      </w:r>
    </w:p>
    <w:p w14:paraId="0CD99D00" w14:textId="77777777" w:rsidR="00146D06" w:rsidRPr="00146D06" w:rsidRDefault="00146D06" w:rsidP="00146D06">
      <w:pPr>
        <w:pStyle w:val="ListParagraph"/>
        <w:numPr>
          <w:ilvl w:val="0"/>
          <w:numId w:val="24"/>
        </w:numPr>
        <w:rPr>
          <w:rFonts w:ascii="Tahoma" w:hAnsi="Tahoma" w:cs="Tahoma"/>
          <w:sz w:val="24"/>
          <w:szCs w:val="24"/>
        </w:rPr>
      </w:pPr>
      <w:r w:rsidRPr="00146D06">
        <w:rPr>
          <w:rFonts w:ascii="Tahoma" w:hAnsi="Tahoma" w:cs="Tahoma"/>
          <w:sz w:val="24"/>
          <w:szCs w:val="24"/>
        </w:rPr>
        <w:t>Conclusions and recommendations</w:t>
      </w:r>
    </w:p>
    <w:p w14:paraId="06B5FDEA" w14:textId="77777777" w:rsidR="00146D06" w:rsidRDefault="00146D06" w:rsidP="00BB3EA1">
      <w:pPr>
        <w:pStyle w:val="paragraph"/>
        <w:spacing w:before="0" w:beforeAutospacing="0" w:after="0" w:afterAutospacing="0" w:line="276" w:lineRule="auto"/>
        <w:textAlignment w:val="baseline"/>
        <w:rPr>
          <w:rFonts w:ascii="Tahoma" w:hAnsi="Tahoma" w:cs="Tahoma"/>
          <w:b/>
          <w:bCs/>
        </w:rPr>
      </w:pPr>
    </w:p>
    <w:p w14:paraId="27BBFE45" w14:textId="5EE321B2" w:rsidR="00BB3EA1" w:rsidRDefault="00260C43" w:rsidP="00BB3EA1">
      <w:pPr>
        <w:pStyle w:val="paragraph"/>
        <w:spacing w:before="0" w:beforeAutospacing="0" w:after="0" w:afterAutospacing="0" w:line="276" w:lineRule="auto"/>
        <w:textAlignment w:val="baseline"/>
        <w:rPr>
          <w:rFonts w:ascii="Tahoma" w:hAnsi="Tahoma" w:cs="Tahoma"/>
          <w:b/>
          <w:bCs/>
        </w:rPr>
      </w:pPr>
      <w:r>
        <w:rPr>
          <w:rFonts w:ascii="Tahoma" w:hAnsi="Tahoma" w:cs="Tahoma"/>
          <w:b/>
          <w:bCs/>
        </w:rPr>
        <w:t>Introduction</w:t>
      </w:r>
    </w:p>
    <w:p w14:paraId="721675DB" w14:textId="74861B85" w:rsidR="00911132" w:rsidRDefault="00911132" w:rsidP="00BB3EA1">
      <w:pPr>
        <w:pStyle w:val="paragraph"/>
        <w:spacing w:before="0" w:beforeAutospacing="0" w:after="0" w:afterAutospacing="0" w:line="276" w:lineRule="auto"/>
        <w:textAlignment w:val="baseline"/>
        <w:rPr>
          <w:rFonts w:ascii="Tahoma" w:hAnsi="Tahoma" w:cs="Tahoma"/>
          <w:bCs/>
        </w:rPr>
      </w:pPr>
      <w:r w:rsidRPr="2E32ED18">
        <w:rPr>
          <w:rFonts w:ascii="Tahoma" w:hAnsi="Tahoma" w:cs="Tahoma"/>
        </w:rPr>
        <w:t>The</w:t>
      </w:r>
      <w:r w:rsidR="00B97B94" w:rsidRPr="2E32ED18">
        <w:rPr>
          <w:rFonts w:ascii="Tahoma" w:hAnsi="Tahoma" w:cs="Tahoma"/>
        </w:rPr>
        <w:t xml:space="preserve"> arrival </w:t>
      </w:r>
      <w:r w:rsidRPr="2E32ED18">
        <w:rPr>
          <w:rFonts w:ascii="Tahoma" w:hAnsi="Tahoma" w:cs="Tahoma"/>
        </w:rPr>
        <w:t xml:space="preserve">of </w:t>
      </w:r>
      <w:r w:rsidR="00497480" w:rsidRPr="2E32ED18">
        <w:rPr>
          <w:rFonts w:ascii="Tahoma" w:hAnsi="Tahoma" w:cs="Tahoma"/>
        </w:rPr>
        <w:t>th</w:t>
      </w:r>
      <w:r w:rsidRPr="2E32ED18">
        <w:rPr>
          <w:rFonts w:ascii="Tahoma" w:hAnsi="Tahoma" w:cs="Tahoma"/>
        </w:rPr>
        <w:t xml:space="preserve">e COVID-19 virus in the UK at the beginning of 2020 and the subsequent public health restrictions changed our lives in an unprecedented way. Everyone was asked to stay </w:t>
      </w:r>
      <w:r w:rsidR="7EAF9E32" w:rsidRPr="46060FD9">
        <w:rPr>
          <w:rFonts w:ascii="Tahoma" w:hAnsi="Tahoma" w:cs="Tahoma"/>
        </w:rPr>
        <w:t>inside</w:t>
      </w:r>
      <w:r w:rsidRPr="2E32ED18">
        <w:rPr>
          <w:rFonts w:ascii="Tahoma" w:hAnsi="Tahoma" w:cs="Tahoma"/>
        </w:rPr>
        <w:t>, reinforcing the importance of a safe and secure home</w:t>
      </w:r>
      <w:r w:rsidR="00C55378" w:rsidRPr="2E32ED18">
        <w:rPr>
          <w:rFonts w:ascii="Tahoma" w:hAnsi="Tahoma" w:cs="Tahoma"/>
        </w:rPr>
        <w:t xml:space="preserve">, which </w:t>
      </w:r>
      <w:r w:rsidR="00D1095C" w:rsidRPr="2E32ED18">
        <w:rPr>
          <w:rFonts w:ascii="Tahoma" w:hAnsi="Tahoma" w:cs="Tahoma"/>
        </w:rPr>
        <w:t>for many had been</w:t>
      </w:r>
      <w:r w:rsidR="009A6375" w:rsidRPr="2E32ED18">
        <w:rPr>
          <w:rFonts w:ascii="Tahoma" w:hAnsi="Tahoma" w:cs="Tahoma"/>
        </w:rPr>
        <w:t xml:space="preserve"> (and </w:t>
      </w:r>
      <w:r w:rsidR="00B97B94" w:rsidRPr="2E32ED18">
        <w:rPr>
          <w:rFonts w:ascii="Tahoma" w:hAnsi="Tahoma" w:cs="Tahoma"/>
        </w:rPr>
        <w:t xml:space="preserve">for some </w:t>
      </w:r>
      <w:r w:rsidR="009A6375" w:rsidRPr="2E32ED18">
        <w:rPr>
          <w:rFonts w:ascii="Tahoma" w:hAnsi="Tahoma" w:cs="Tahoma"/>
        </w:rPr>
        <w:t>continues to be)</w:t>
      </w:r>
      <w:r w:rsidR="00D1095C" w:rsidRPr="2E32ED18">
        <w:rPr>
          <w:rFonts w:ascii="Tahoma" w:hAnsi="Tahoma" w:cs="Tahoma"/>
        </w:rPr>
        <w:t xml:space="preserve"> </w:t>
      </w:r>
      <w:r w:rsidR="00F53686" w:rsidRPr="2E32ED18">
        <w:rPr>
          <w:rFonts w:ascii="Tahoma" w:hAnsi="Tahoma" w:cs="Tahoma"/>
        </w:rPr>
        <w:t xml:space="preserve">difficult to </w:t>
      </w:r>
      <w:r w:rsidR="009A6375" w:rsidRPr="2E32ED18">
        <w:rPr>
          <w:rFonts w:ascii="Tahoma" w:hAnsi="Tahoma" w:cs="Tahoma"/>
        </w:rPr>
        <w:t xml:space="preserve">access or </w:t>
      </w:r>
      <w:r w:rsidR="00F53686" w:rsidRPr="2E32ED18">
        <w:rPr>
          <w:rFonts w:ascii="Tahoma" w:hAnsi="Tahoma" w:cs="Tahoma"/>
        </w:rPr>
        <w:t>sustain</w:t>
      </w:r>
      <w:r w:rsidRPr="2E32ED18">
        <w:rPr>
          <w:rFonts w:ascii="Tahoma" w:hAnsi="Tahoma" w:cs="Tahoma"/>
        </w:rPr>
        <w:t>.</w:t>
      </w:r>
      <w:r w:rsidR="00F53686" w:rsidRPr="2E32ED18">
        <w:rPr>
          <w:rFonts w:ascii="Tahoma" w:hAnsi="Tahoma" w:cs="Tahoma"/>
        </w:rPr>
        <w:t xml:space="preserve"> </w:t>
      </w:r>
      <w:r w:rsidR="592DCE7F" w:rsidRPr="46060FD9">
        <w:rPr>
          <w:rFonts w:ascii="Tahoma" w:hAnsi="Tahoma" w:cs="Tahoma"/>
        </w:rPr>
        <w:t>T</w:t>
      </w:r>
      <w:r w:rsidR="00F53686" w:rsidRPr="46060FD9">
        <w:rPr>
          <w:rFonts w:ascii="Tahoma" w:hAnsi="Tahoma" w:cs="Tahoma"/>
        </w:rPr>
        <w:t>he</w:t>
      </w:r>
      <w:r w:rsidR="00F53686" w:rsidRPr="2E32ED18">
        <w:rPr>
          <w:rFonts w:ascii="Tahoma" w:hAnsi="Tahoma" w:cs="Tahoma"/>
        </w:rPr>
        <w:t xml:space="preserve"> pandemic also brought</w:t>
      </w:r>
      <w:r w:rsidR="00FE1746" w:rsidRPr="2E32ED18">
        <w:rPr>
          <w:rFonts w:ascii="Tahoma" w:hAnsi="Tahoma" w:cs="Tahoma"/>
        </w:rPr>
        <w:t xml:space="preserve"> new difficulties for </w:t>
      </w:r>
      <w:r w:rsidR="00EB6B99" w:rsidRPr="2E32ED18">
        <w:rPr>
          <w:rFonts w:ascii="Tahoma" w:hAnsi="Tahoma" w:cs="Tahoma"/>
        </w:rPr>
        <w:t>people</w:t>
      </w:r>
      <w:r w:rsidR="698CA35E" w:rsidRPr="46060FD9">
        <w:rPr>
          <w:rFonts w:ascii="Tahoma" w:hAnsi="Tahoma" w:cs="Tahoma"/>
        </w:rPr>
        <w:t>.</w:t>
      </w:r>
      <w:r w:rsidR="00EB6B99" w:rsidRPr="2E32ED18">
        <w:rPr>
          <w:rFonts w:ascii="Tahoma" w:hAnsi="Tahoma" w:cs="Tahoma"/>
        </w:rPr>
        <w:t xml:space="preserve"> </w:t>
      </w:r>
      <w:r w:rsidR="0A4C6BF7" w:rsidRPr="46060FD9">
        <w:rPr>
          <w:rFonts w:ascii="Tahoma" w:hAnsi="Tahoma" w:cs="Tahoma"/>
        </w:rPr>
        <w:t>T</w:t>
      </w:r>
      <w:r w:rsidR="00FE1746" w:rsidRPr="46060FD9">
        <w:rPr>
          <w:rFonts w:ascii="Tahoma" w:hAnsi="Tahoma" w:cs="Tahoma"/>
        </w:rPr>
        <w:t>he</w:t>
      </w:r>
      <w:r w:rsidR="00EB6B99" w:rsidRPr="2E32ED18">
        <w:rPr>
          <w:rFonts w:ascii="Tahoma" w:hAnsi="Tahoma" w:cs="Tahoma"/>
        </w:rPr>
        <w:t xml:space="preserve"> widespread</w:t>
      </w:r>
      <w:r w:rsidR="00FE1746" w:rsidRPr="2E32ED18">
        <w:rPr>
          <w:rFonts w:ascii="Tahoma" w:hAnsi="Tahoma" w:cs="Tahoma"/>
        </w:rPr>
        <w:t xml:space="preserve"> loss of</w:t>
      </w:r>
      <w:r w:rsidR="009902B8" w:rsidRPr="2E32ED18">
        <w:rPr>
          <w:rFonts w:ascii="Tahoma" w:hAnsi="Tahoma" w:cs="Tahoma"/>
        </w:rPr>
        <w:t xml:space="preserve"> or changes to </w:t>
      </w:r>
      <w:r w:rsidR="24B7D95C" w:rsidRPr="46060FD9">
        <w:rPr>
          <w:rFonts w:ascii="Tahoma" w:hAnsi="Tahoma" w:cs="Tahoma"/>
        </w:rPr>
        <w:t>work</w:t>
      </w:r>
      <w:r w:rsidR="00FE1746" w:rsidRPr="2E32ED18">
        <w:rPr>
          <w:rFonts w:ascii="Tahoma" w:hAnsi="Tahoma" w:cs="Tahoma"/>
        </w:rPr>
        <w:t xml:space="preserve"> meant many</w:t>
      </w:r>
      <w:r w:rsidR="00B61027" w:rsidRPr="2E32ED18">
        <w:rPr>
          <w:rFonts w:ascii="Tahoma" w:hAnsi="Tahoma" w:cs="Tahoma"/>
        </w:rPr>
        <w:t xml:space="preserve"> struggled to afford their rent, </w:t>
      </w:r>
      <w:r w:rsidR="00286DA8" w:rsidRPr="2E32ED18">
        <w:rPr>
          <w:rFonts w:ascii="Tahoma" w:hAnsi="Tahoma" w:cs="Tahoma"/>
        </w:rPr>
        <w:t xml:space="preserve">protected from </w:t>
      </w:r>
      <w:r w:rsidR="169A81EA" w:rsidRPr="46060FD9">
        <w:rPr>
          <w:rFonts w:ascii="Tahoma" w:hAnsi="Tahoma" w:cs="Tahoma"/>
        </w:rPr>
        <w:t>immediate</w:t>
      </w:r>
      <w:r w:rsidR="00286DA8" w:rsidRPr="46060FD9">
        <w:rPr>
          <w:rFonts w:ascii="Tahoma" w:hAnsi="Tahoma" w:cs="Tahoma"/>
        </w:rPr>
        <w:t xml:space="preserve"> </w:t>
      </w:r>
      <w:r w:rsidR="00286DA8" w:rsidRPr="2E32ED18">
        <w:rPr>
          <w:rFonts w:ascii="Tahoma" w:hAnsi="Tahoma" w:cs="Tahoma"/>
        </w:rPr>
        <w:t>eviction only by emergency measures brought in by the Scottish Government.</w:t>
      </w:r>
      <w:r w:rsidRPr="2E32ED18">
        <w:rPr>
          <w:rFonts w:ascii="Tahoma" w:hAnsi="Tahoma" w:cs="Tahoma"/>
        </w:rPr>
        <w:t xml:space="preserve"> </w:t>
      </w:r>
      <w:r w:rsidR="0DBB666F" w:rsidRPr="46060FD9">
        <w:rPr>
          <w:rFonts w:ascii="Tahoma" w:hAnsi="Tahoma" w:cs="Tahoma"/>
        </w:rPr>
        <w:t>Changes between the “pre-pandemic" financial year of 2019</w:t>
      </w:r>
      <w:r w:rsidR="196B7ED1" w:rsidRPr="46060FD9">
        <w:rPr>
          <w:rFonts w:ascii="Tahoma" w:hAnsi="Tahoma" w:cs="Tahoma"/>
        </w:rPr>
        <w:t>/</w:t>
      </w:r>
      <w:r w:rsidR="0DBB666F" w:rsidRPr="46060FD9">
        <w:rPr>
          <w:rFonts w:ascii="Tahoma" w:hAnsi="Tahoma" w:cs="Tahoma"/>
        </w:rPr>
        <w:t>20 and that of the last financial year, 2020</w:t>
      </w:r>
      <w:r w:rsidR="5AEB1001" w:rsidRPr="46060FD9">
        <w:rPr>
          <w:rFonts w:ascii="Tahoma" w:hAnsi="Tahoma" w:cs="Tahoma"/>
        </w:rPr>
        <w:t>/</w:t>
      </w:r>
      <w:r w:rsidR="0DBB666F" w:rsidRPr="46060FD9">
        <w:rPr>
          <w:rFonts w:ascii="Tahoma" w:hAnsi="Tahoma" w:cs="Tahoma"/>
        </w:rPr>
        <w:t xml:space="preserve">21 </w:t>
      </w:r>
      <w:r w:rsidRPr="2E32ED18">
        <w:rPr>
          <w:rFonts w:ascii="Tahoma" w:hAnsi="Tahoma" w:cs="Tahoma"/>
        </w:rPr>
        <w:t xml:space="preserve">brought an increase in the amount of advice people sought from the Citizens Advice network on housing issues, </w:t>
      </w:r>
      <w:r w:rsidR="417C42B7" w:rsidRPr="46060FD9">
        <w:rPr>
          <w:rFonts w:ascii="Tahoma" w:hAnsi="Tahoma" w:cs="Tahoma"/>
        </w:rPr>
        <w:t>and</w:t>
      </w:r>
      <w:r w:rsidRPr="2E32ED18">
        <w:rPr>
          <w:rFonts w:ascii="Tahoma" w:hAnsi="Tahoma" w:cs="Tahoma"/>
        </w:rPr>
        <w:t xml:space="preserve"> some notable changes in the types of housing advice people sought.</w:t>
      </w:r>
      <w:r w:rsidR="00666240" w:rsidRPr="2E32ED18">
        <w:rPr>
          <w:rStyle w:val="FootnoteReference"/>
          <w:rFonts w:ascii="Tahoma" w:hAnsi="Tahoma" w:cs="Tahoma"/>
        </w:rPr>
        <w:footnoteReference w:id="2"/>
      </w:r>
      <w:r w:rsidR="00DF1A4C" w:rsidRPr="2E32ED18">
        <w:rPr>
          <w:rStyle w:val="FootnoteReference"/>
          <w:rFonts w:ascii="Tahoma" w:hAnsi="Tahoma" w:cs="Tahoma"/>
        </w:rPr>
        <w:footnoteReference w:id="3"/>
      </w:r>
    </w:p>
    <w:p w14:paraId="62A40BB8" w14:textId="315D0854" w:rsidR="00986C9A" w:rsidRDefault="00986C9A" w:rsidP="00BB3EA1">
      <w:pPr>
        <w:pStyle w:val="paragraph"/>
        <w:spacing w:before="0" w:beforeAutospacing="0" w:after="0" w:afterAutospacing="0" w:line="276" w:lineRule="auto"/>
        <w:textAlignment w:val="baseline"/>
        <w:rPr>
          <w:rFonts w:ascii="Tahoma" w:hAnsi="Tahoma" w:cs="Tahoma"/>
          <w:bCs/>
        </w:rPr>
      </w:pPr>
    </w:p>
    <w:p w14:paraId="59155B47" w14:textId="0C3D036E" w:rsidR="00986C9A" w:rsidRDefault="00986C9A" w:rsidP="00BB3EA1">
      <w:pPr>
        <w:pStyle w:val="paragraph"/>
        <w:spacing w:before="0" w:beforeAutospacing="0" w:after="0" w:afterAutospacing="0" w:line="276" w:lineRule="auto"/>
        <w:textAlignment w:val="baseline"/>
        <w:rPr>
          <w:rFonts w:ascii="Tahoma" w:hAnsi="Tahoma" w:cs="Tahoma"/>
          <w:bCs/>
        </w:rPr>
      </w:pPr>
      <w:r>
        <w:rPr>
          <w:rFonts w:ascii="Tahoma" w:hAnsi="Tahoma" w:cs="Tahoma"/>
          <w:bCs/>
        </w:rPr>
        <w:t xml:space="preserve">This briefing will </w:t>
      </w:r>
      <w:r w:rsidR="111E46A7" w:rsidRPr="45A23ED2">
        <w:rPr>
          <w:rFonts w:ascii="Tahoma" w:hAnsi="Tahoma" w:cs="Tahoma"/>
        </w:rPr>
        <w:t xml:space="preserve">compare </w:t>
      </w:r>
      <w:r w:rsidR="5EE6D27D" w:rsidRPr="45A23ED2">
        <w:rPr>
          <w:rFonts w:ascii="Tahoma" w:hAnsi="Tahoma" w:cs="Tahoma"/>
        </w:rPr>
        <w:t>Scottish C</w:t>
      </w:r>
      <w:r w:rsidR="111E46A7" w:rsidRPr="45A23ED2">
        <w:rPr>
          <w:rFonts w:ascii="Tahoma" w:hAnsi="Tahoma" w:cs="Tahoma"/>
        </w:rPr>
        <w:t>itizens Advice</w:t>
      </w:r>
      <w:r w:rsidRPr="45A23ED2">
        <w:rPr>
          <w:rFonts w:ascii="Tahoma" w:hAnsi="Tahoma" w:cs="Tahoma"/>
        </w:rPr>
        <w:t xml:space="preserve"> </w:t>
      </w:r>
      <w:r w:rsidR="522818D5" w:rsidRPr="45A23ED2">
        <w:rPr>
          <w:rFonts w:ascii="Tahoma" w:hAnsi="Tahoma" w:cs="Tahoma"/>
        </w:rPr>
        <w:t>B</w:t>
      </w:r>
      <w:r w:rsidR="00CA1B2B" w:rsidRPr="45A23ED2">
        <w:rPr>
          <w:rFonts w:ascii="Tahoma" w:hAnsi="Tahoma" w:cs="Tahoma"/>
        </w:rPr>
        <w:t>ureaux</w:t>
      </w:r>
      <w:r w:rsidR="00CA1B2B">
        <w:rPr>
          <w:rFonts w:ascii="Tahoma" w:hAnsi="Tahoma" w:cs="Tahoma"/>
          <w:bCs/>
        </w:rPr>
        <w:t xml:space="preserve"> </w:t>
      </w:r>
      <w:r>
        <w:rPr>
          <w:rFonts w:ascii="Tahoma" w:hAnsi="Tahoma" w:cs="Tahoma"/>
          <w:bCs/>
        </w:rPr>
        <w:t xml:space="preserve">data from 2019/20 and 2020/21 and </w:t>
      </w:r>
      <w:r w:rsidR="00CA1B2B">
        <w:rPr>
          <w:rFonts w:ascii="Tahoma" w:hAnsi="Tahoma" w:cs="Tahoma"/>
          <w:bCs/>
        </w:rPr>
        <w:t>particularly consider</w:t>
      </w:r>
      <w:r>
        <w:rPr>
          <w:rFonts w:ascii="Tahoma" w:hAnsi="Tahoma" w:cs="Tahoma"/>
          <w:bCs/>
        </w:rPr>
        <w:t>:</w:t>
      </w:r>
    </w:p>
    <w:p w14:paraId="04432FAB" w14:textId="4B4CCF1A" w:rsidR="00986C9A" w:rsidRDefault="00986C9A" w:rsidP="00986C9A">
      <w:pPr>
        <w:pStyle w:val="paragraph"/>
        <w:numPr>
          <w:ilvl w:val="0"/>
          <w:numId w:val="16"/>
        </w:numPr>
        <w:spacing w:before="0" w:beforeAutospacing="0" w:after="0" w:afterAutospacing="0" w:line="276" w:lineRule="auto"/>
        <w:textAlignment w:val="baseline"/>
        <w:rPr>
          <w:rFonts w:ascii="Tahoma" w:hAnsi="Tahoma" w:cs="Tahoma"/>
          <w:bCs/>
        </w:rPr>
      </w:pPr>
      <w:r>
        <w:rPr>
          <w:rFonts w:ascii="Tahoma" w:hAnsi="Tahoma" w:cs="Tahoma"/>
          <w:bCs/>
        </w:rPr>
        <w:lastRenderedPageBreak/>
        <w:t xml:space="preserve">Housing advice as a proportion of all advice and the most common types of housing advice </w:t>
      </w:r>
    </w:p>
    <w:p w14:paraId="1062EACA" w14:textId="7922EDCF" w:rsidR="00CA1B2B" w:rsidRPr="005B01E7" w:rsidRDefault="00CA1B2B" w:rsidP="00CA1B2B">
      <w:pPr>
        <w:pStyle w:val="ListParagraph"/>
        <w:numPr>
          <w:ilvl w:val="0"/>
          <w:numId w:val="16"/>
        </w:numPr>
        <w:rPr>
          <w:rFonts w:ascii="Tahoma" w:hAnsi="Tahoma" w:cs="Tahoma"/>
          <w:sz w:val="24"/>
          <w:szCs w:val="24"/>
        </w:rPr>
      </w:pPr>
      <w:r w:rsidRPr="005B01E7">
        <w:rPr>
          <w:rFonts w:ascii="Tahoma" w:hAnsi="Tahoma" w:cs="Tahoma"/>
          <w:sz w:val="24"/>
          <w:szCs w:val="24"/>
        </w:rPr>
        <w:t>Private rented sector</w:t>
      </w:r>
      <w:r w:rsidR="005B01E7" w:rsidRPr="005B01E7">
        <w:rPr>
          <w:rFonts w:ascii="Tahoma" w:hAnsi="Tahoma" w:cs="Tahoma"/>
          <w:sz w:val="24"/>
          <w:szCs w:val="24"/>
        </w:rPr>
        <w:t xml:space="preserve"> advice</w:t>
      </w:r>
    </w:p>
    <w:p w14:paraId="56F40559" w14:textId="4A2B1713" w:rsidR="00CA1B2B" w:rsidRPr="00E9643F" w:rsidRDefault="00CA1B2B" w:rsidP="00E9643F">
      <w:pPr>
        <w:pStyle w:val="ListParagraph"/>
        <w:numPr>
          <w:ilvl w:val="0"/>
          <w:numId w:val="16"/>
        </w:numPr>
        <w:rPr>
          <w:rFonts w:ascii="Tahoma" w:hAnsi="Tahoma" w:cs="Tahoma"/>
          <w:sz w:val="24"/>
          <w:szCs w:val="24"/>
        </w:rPr>
      </w:pPr>
      <w:r w:rsidRPr="005B01E7">
        <w:rPr>
          <w:rFonts w:ascii="Tahoma" w:hAnsi="Tahoma" w:cs="Tahoma"/>
          <w:sz w:val="24"/>
          <w:szCs w:val="24"/>
        </w:rPr>
        <w:t>Environmental and neighbour advice</w:t>
      </w:r>
    </w:p>
    <w:p w14:paraId="01F0E4C7" w14:textId="241A6849" w:rsidR="00CA1B2B" w:rsidRDefault="00CA1B2B" w:rsidP="00E9643F">
      <w:pPr>
        <w:pStyle w:val="ListParagraph"/>
        <w:numPr>
          <w:ilvl w:val="0"/>
          <w:numId w:val="16"/>
        </w:numPr>
        <w:rPr>
          <w:rFonts w:ascii="Tahoma" w:hAnsi="Tahoma" w:cs="Tahoma"/>
          <w:sz w:val="24"/>
          <w:szCs w:val="24"/>
        </w:rPr>
      </w:pPr>
      <w:r w:rsidRPr="00E9643F">
        <w:rPr>
          <w:rFonts w:ascii="Tahoma" w:hAnsi="Tahoma" w:cs="Tahoma"/>
          <w:sz w:val="24"/>
          <w:szCs w:val="24"/>
        </w:rPr>
        <w:t>Advice on local authority housing</w:t>
      </w:r>
    </w:p>
    <w:p w14:paraId="241F7C2F" w14:textId="0F9FBDDE" w:rsidR="002818D4" w:rsidRPr="00E9643F" w:rsidRDefault="002818D4" w:rsidP="00E9643F">
      <w:pPr>
        <w:pStyle w:val="ListParagraph"/>
        <w:numPr>
          <w:ilvl w:val="0"/>
          <w:numId w:val="16"/>
        </w:numPr>
        <w:rPr>
          <w:rFonts w:ascii="Tahoma" w:hAnsi="Tahoma" w:cs="Tahoma"/>
          <w:sz w:val="24"/>
          <w:szCs w:val="24"/>
        </w:rPr>
      </w:pPr>
      <w:r>
        <w:rPr>
          <w:rFonts w:ascii="Tahoma" w:hAnsi="Tahoma" w:cs="Tahoma"/>
          <w:sz w:val="24"/>
          <w:szCs w:val="24"/>
        </w:rPr>
        <w:t>Advice on Registered Social Landlord housing</w:t>
      </w:r>
    </w:p>
    <w:p w14:paraId="118553C7" w14:textId="45F42DDD" w:rsidR="00CA1B2B" w:rsidRPr="00E9643F" w:rsidRDefault="005B01E7" w:rsidP="00CA1B2B">
      <w:pPr>
        <w:pStyle w:val="ListParagraph"/>
        <w:numPr>
          <w:ilvl w:val="0"/>
          <w:numId w:val="16"/>
        </w:numPr>
      </w:pPr>
      <w:r w:rsidRPr="00E9643F">
        <w:rPr>
          <w:rFonts w:ascii="Tahoma" w:hAnsi="Tahoma" w:cs="Tahoma"/>
          <w:sz w:val="24"/>
          <w:szCs w:val="24"/>
        </w:rPr>
        <w:t xml:space="preserve">Advice on </w:t>
      </w:r>
      <w:r w:rsidR="00CA1B2B" w:rsidRPr="00E9643F">
        <w:rPr>
          <w:rFonts w:ascii="Tahoma" w:hAnsi="Tahoma" w:cs="Tahoma"/>
          <w:sz w:val="24"/>
          <w:szCs w:val="24"/>
        </w:rPr>
        <w:t>homelessness</w:t>
      </w:r>
    </w:p>
    <w:p w14:paraId="7ECCCD42" w14:textId="46F4B66A" w:rsidR="001C4E7B" w:rsidRDefault="00E9643F" w:rsidP="00274CF1">
      <w:pPr>
        <w:pStyle w:val="ListParagraph"/>
        <w:numPr>
          <w:ilvl w:val="0"/>
          <w:numId w:val="16"/>
        </w:numPr>
        <w:rPr>
          <w:rFonts w:ascii="Tahoma" w:hAnsi="Tahoma" w:cs="Tahoma"/>
          <w:sz w:val="24"/>
          <w:szCs w:val="24"/>
        </w:rPr>
      </w:pPr>
      <w:r>
        <w:rPr>
          <w:rFonts w:ascii="Tahoma" w:hAnsi="Tahoma" w:cs="Tahoma"/>
          <w:sz w:val="24"/>
          <w:szCs w:val="24"/>
        </w:rPr>
        <w:t>H</w:t>
      </w:r>
      <w:r w:rsidR="00CA1B2B" w:rsidRPr="00E9643F">
        <w:rPr>
          <w:rFonts w:ascii="Tahoma" w:hAnsi="Tahoma" w:cs="Tahoma"/>
          <w:sz w:val="24"/>
          <w:szCs w:val="24"/>
        </w:rPr>
        <w:t>ousing cost arrears</w:t>
      </w:r>
      <w:r>
        <w:rPr>
          <w:rFonts w:ascii="Tahoma" w:hAnsi="Tahoma" w:cs="Tahoma"/>
          <w:sz w:val="24"/>
          <w:szCs w:val="24"/>
        </w:rPr>
        <w:t xml:space="preserve"> advice</w:t>
      </w:r>
    </w:p>
    <w:p w14:paraId="3506E477" w14:textId="77777777" w:rsidR="00274CF1" w:rsidRPr="00274CF1" w:rsidRDefault="00274CF1" w:rsidP="00274CF1">
      <w:pPr>
        <w:pStyle w:val="ListParagraph"/>
        <w:rPr>
          <w:rFonts w:ascii="Tahoma" w:hAnsi="Tahoma" w:cs="Tahoma"/>
          <w:sz w:val="24"/>
          <w:szCs w:val="24"/>
        </w:rPr>
      </w:pPr>
    </w:p>
    <w:p w14:paraId="0BE150CA" w14:textId="64FB5924" w:rsidR="001C4E7B" w:rsidRDefault="7595AF21" w:rsidP="2E32ED18">
      <w:pPr>
        <w:pStyle w:val="paragraph"/>
        <w:spacing w:before="0" w:beforeAutospacing="0" w:after="0" w:afterAutospacing="0" w:line="276" w:lineRule="auto"/>
        <w:textAlignment w:val="baseline"/>
        <w:rPr>
          <w:rFonts w:ascii="Tahoma" w:hAnsi="Tahoma" w:cs="Tahoma"/>
        </w:rPr>
      </w:pPr>
      <w:r w:rsidRPr="2E32ED18">
        <w:rPr>
          <w:rFonts w:ascii="Tahoma" w:hAnsi="Tahoma" w:cs="Tahoma"/>
        </w:rPr>
        <w:t xml:space="preserve">Note: advice code data is collected quarterly over a financial year, </w:t>
      </w:r>
      <w:r w:rsidR="00987D92">
        <w:rPr>
          <w:rFonts w:ascii="Tahoma" w:hAnsi="Tahoma" w:cs="Tahoma"/>
        </w:rPr>
        <w:t>i</w:t>
      </w:r>
      <w:r w:rsidRPr="2E32ED18">
        <w:rPr>
          <w:rFonts w:ascii="Tahoma" w:hAnsi="Tahoma" w:cs="Tahoma"/>
        </w:rPr>
        <w:t xml:space="preserve">.e. </w:t>
      </w:r>
      <w:r w:rsidR="00987D92">
        <w:rPr>
          <w:rFonts w:ascii="Tahoma" w:hAnsi="Tahoma" w:cs="Tahoma"/>
        </w:rPr>
        <w:t>t</w:t>
      </w:r>
      <w:r w:rsidRPr="2E32ED18">
        <w:rPr>
          <w:rFonts w:ascii="Tahoma" w:hAnsi="Tahoma" w:cs="Tahoma"/>
        </w:rPr>
        <w:t>he year 2019/20 runs from April 1</w:t>
      </w:r>
      <w:r w:rsidRPr="2E32ED18">
        <w:rPr>
          <w:rFonts w:ascii="Tahoma" w:hAnsi="Tahoma" w:cs="Tahoma"/>
          <w:vertAlign w:val="superscript"/>
        </w:rPr>
        <w:t>st</w:t>
      </w:r>
      <w:r w:rsidRPr="2E32ED18">
        <w:rPr>
          <w:rFonts w:ascii="Tahoma" w:hAnsi="Tahoma" w:cs="Tahoma"/>
        </w:rPr>
        <w:t xml:space="preserve"> 2019 until March 31</w:t>
      </w:r>
      <w:r w:rsidRPr="2E32ED18">
        <w:rPr>
          <w:rFonts w:ascii="Tahoma" w:hAnsi="Tahoma" w:cs="Tahoma"/>
          <w:vertAlign w:val="superscript"/>
        </w:rPr>
        <w:t>st</w:t>
      </w:r>
      <w:r w:rsidRPr="2E32ED18">
        <w:rPr>
          <w:rFonts w:ascii="Tahoma" w:hAnsi="Tahoma" w:cs="Tahoma"/>
        </w:rPr>
        <w:t xml:space="preserve"> 2020. </w:t>
      </w:r>
      <w:r w:rsidR="6797B2C4" w:rsidRPr="2E32ED18">
        <w:rPr>
          <w:rFonts w:ascii="Tahoma" w:hAnsi="Tahoma" w:cs="Tahoma"/>
        </w:rPr>
        <w:t xml:space="preserve">Quarter 1 (Q1) refers to April-June, Quarter 2 (Q2) refers to July-September, Quarter 3 (Q3) refers to </w:t>
      </w:r>
      <w:r w:rsidR="138D06EC" w:rsidRPr="2E32ED18">
        <w:rPr>
          <w:rFonts w:ascii="Tahoma" w:hAnsi="Tahoma" w:cs="Tahoma"/>
        </w:rPr>
        <w:t>October-December and Quarter 4 (Q4) refers to January-March. “Pre-pandemic” refers to the finan</w:t>
      </w:r>
      <w:r w:rsidR="66B58DA5" w:rsidRPr="2E32ED18">
        <w:rPr>
          <w:rFonts w:ascii="Tahoma" w:hAnsi="Tahoma" w:cs="Tahoma"/>
        </w:rPr>
        <w:t xml:space="preserve">cial year 2019/20, as although restrictions were introduced in March 2020, changes in advice code trends were not visible until </w:t>
      </w:r>
      <w:r w:rsidR="0428B34E" w:rsidRPr="2E32ED18">
        <w:rPr>
          <w:rFonts w:ascii="Tahoma" w:hAnsi="Tahoma" w:cs="Tahoma"/>
        </w:rPr>
        <w:t>Q1 of the following year, 2020/21</w:t>
      </w:r>
      <w:r w:rsidR="009A7D30">
        <w:rPr>
          <w:rFonts w:ascii="Tahoma" w:hAnsi="Tahoma" w:cs="Tahoma"/>
        </w:rPr>
        <w:t>.</w:t>
      </w:r>
    </w:p>
    <w:p w14:paraId="4DF70B0F" w14:textId="074424F1" w:rsidR="2E32ED18" w:rsidRDefault="2E32ED18" w:rsidP="2E32ED18">
      <w:pPr>
        <w:pStyle w:val="paragraph"/>
        <w:spacing w:before="0" w:beforeAutospacing="0" w:after="0" w:afterAutospacing="0" w:line="276" w:lineRule="auto"/>
      </w:pPr>
    </w:p>
    <w:p w14:paraId="367F6690" w14:textId="59CC8EC3" w:rsidR="009815CF" w:rsidRPr="009815CF" w:rsidRDefault="00911132" w:rsidP="009815CF">
      <w:pPr>
        <w:pStyle w:val="paragraph"/>
        <w:spacing w:before="0" w:beforeAutospacing="0" w:after="0" w:afterAutospacing="0" w:line="276" w:lineRule="auto"/>
        <w:textAlignment w:val="baseline"/>
        <w:rPr>
          <w:rFonts w:ascii="Tahoma" w:hAnsi="Tahoma" w:cs="Tahoma"/>
          <w:b/>
          <w:bCs/>
        </w:rPr>
      </w:pPr>
      <w:r w:rsidRPr="000B506B">
        <w:rPr>
          <w:rFonts w:ascii="Tahoma" w:hAnsi="Tahoma" w:cs="Tahoma"/>
          <w:b/>
          <w:bCs/>
        </w:rPr>
        <w:t>Housing as a proportion of all advice</w:t>
      </w:r>
    </w:p>
    <w:p w14:paraId="3995016D" w14:textId="37565E2F" w:rsidR="007739C8" w:rsidRPr="007739C8" w:rsidRDefault="007739C8" w:rsidP="007739C8">
      <w:pPr>
        <w:pStyle w:val="paragraph"/>
        <w:spacing w:before="0" w:beforeAutospacing="0" w:after="0" w:afterAutospacing="0" w:line="276" w:lineRule="auto"/>
        <w:textAlignment w:val="baseline"/>
        <w:rPr>
          <w:b/>
          <w:bCs/>
        </w:rPr>
      </w:pPr>
    </w:p>
    <w:p w14:paraId="178DAB27" w14:textId="7F8DA2F4" w:rsidR="001F1557" w:rsidRDefault="6584052E" w:rsidP="00BB3EA1">
      <w:pPr>
        <w:pStyle w:val="paragraph"/>
        <w:spacing w:before="0" w:beforeAutospacing="0" w:after="0" w:afterAutospacing="0" w:line="276" w:lineRule="auto"/>
        <w:textAlignment w:val="baseline"/>
        <w:rPr>
          <w:rFonts w:ascii="Tahoma" w:hAnsi="Tahoma" w:cs="Tahoma"/>
        </w:rPr>
      </w:pPr>
      <w:r w:rsidRPr="05464BF3">
        <w:rPr>
          <w:rFonts w:ascii="Tahoma" w:hAnsi="Tahoma" w:cs="Tahoma"/>
        </w:rPr>
        <w:t xml:space="preserve">Chart 1. </w:t>
      </w:r>
      <w:r w:rsidR="33001FE3" w:rsidRPr="05464BF3">
        <w:rPr>
          <w:rFonts w:ascii="Tahoma" w:hAnsi="Tahoma" w:cs="Tahoma"/>
        </w:rPr>
        <w:t xml:space="preserve">Top </w:t>
      </w:r>
      <w:r w:rsidR="47F06B3B" w:rsidRPr="05464BF3">
        <w:rPr>
          <w:rFonts w:ascii="Tahoma" w:hAnsi="Tahoma" w:cs="Tahoma"/>
        </w:rPr>
        <w:t>a</w:t>
      </w:r>
      <w:r w:rsidRPr="05464BF3">
        <w:rPr>
          <w:rFonts w:ascii="Tahoma" w:hAnsi="Tahoma" w:cs="Tahoma"/>
        </w:rPr>
        <w:t xml:space="preserve">dvice </w:t>
      </w:r>
      <w:r w:rsidR="52723681" w:rsidRPr="05464BF3">
        <w:rPr>
          <w:rFonts w:ascii="Tahoma" w:hAnsi="Tahoma" w:cs="Tahoma"/>
        </w:rPr>
        <w:t>areas</w:t>
      </w:r>
      <w:r w:rsidRPr="05464BF3">
        <w:rPr>
          <w:rFonts w:ascii="Tahoma" w:hAnsi="Tahoma" w:cs="Tahoma"/>
        </w:rPr>
        <w:t xml:space="preserve"> as a proportion of all advice</w:t>
      </w:r>
      <w:r w:rsidR="0077720D">
        <w:rPr>
          <w:rFonts w:ascii="Tahoma" w:hAnsi="Tahoma" w:cs="Tahoma"/>
        </w:rPr>
        <w:t xml:space="preserve"> </w:t>
      </w:r>
    </w:p>
    <w:p w14:paraId="0190B20D" w14:textId="3822FC15" w:rsidR="00473592" w:rsidRDefault="00473592" w:rsidP="00BB3EA1">
      <w:pPr>
        <w:pStyle w:val="paragraph"/>
        <w:spacing w:before="0" w:beforeAutospacing="0" w:after="0" w:afterAutospacing="0" w:line="276" w:lineRule="auto"/>
        <w:textAlignment w:val="baseline"/>
        <w:rPr>
          <w:rFonts w:ascii="Tahoma" w:hAnsi="Tahoma" w:cs="Tahoma"/>
        </w:rPr>
      </w:pPr>
    </w:p>
    <w:p w14:paraId="7154C9ED" w14:textId="1D8509A0" w:rsidR="001F1557" w:rsidRPr="000B506B" w:rsidRDefault="00AA45D5" w:rsidP="00BB3EA1">
      <w:pPr>
        <w:pStyle w:val="paragraph"/>
        <w:spacing w:before="0" w:beforeAutospacing="0" w:after="0" w:afterAutospacing="0" w:line="276" w:lineRule="auto"/>
        <w:textAlignment w:val="baseline"/>
        <w:rPr>
          <w:rFonts w:ascii="Tahoma" w:hAnsi="Tahoma" w:cs="Tahoma"/>
          <w:b/>
          <w:bCs/>
        </w:rPr>
      </w:pPr>
      <w:r>
        <w:rPr>
          <w:noProof/>
        </w:rPr>
        <w:drawing>
          <wp:inline distT="0" distB="0" distL="0" distR="0" wp14:anchorId="7E60A0FE" wp14:editId="5C0D2FF3">
            <wp:extent cx="5495925" cy="3162300"/>
            <wp:effectExtent l="0" t="0" r="0" b="0"/>
            <wp:docPr id="3" name="Chart 3">
              <a:extLst xmlns:a="http://schemas.openxmlformats.org/drawingml/2006/main">
                <a:ext uri="{FF2B5EF4-FFF2-40B4-BE49-F238E27FC236}">
                  <a16:creationId xmlns:a16="http://schemas.microsoft.com/office/drawing/2014/main" id="{DD4F2189-E7BB-4FE3-9C71-4FD69F1B4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A3BA38" w14:textId="5F3DA005" w:rsidR="00B1737E" w:rsidRPr="00AA45D5" w:rsidRDefault="00BB3EA1" w:rsidP="00AA45D5">
      <w:pPr>
        <w:pStyle w:val="paragraph"/>
        <w:tabs>
          <w:tab w:val="left" w:pos="5445"/>
        </w:tabs>
        <w:spacing w:before="0" w:beforeAutospacing="0" w:after="0" w:afterAutospacing="0" w:line="276" w:lineRule="auto"/>
        <w:textAlignment w:val="baseline"/>
        <w:rPr>
          <w:rFonts w:ascii="Tahoma" w:hAnsi="Tahoma" w:cs="Tahoma"/>
          <w:bCs/>
        </w:rPr>
      </w:pPr>
      <w:r>
        <w:rPr>
          <w:rFonts w:ascii="Tahoma" w:hAnsi="Tahoma" w:cs="Tahoma"/>
          <w:bCs/>
        </w:rPr>
        <w:tab/>
      </w:r>
    </w:p>
    <w:p w14:paraId="329E3CDF" w14:textId="56686607" w:rsidR="003744D1" w:rsidRPr="00497480" w:rsidRDefault="005D0828" w:rsidP="2E32ED18">
      <w:pPr>
        <w:pStyle w:val="paragraph"/>
        <w:spacing w:before="0" w:beforeAutospacing="0" w:after="0" w:afterAutospacing="0" w:line="276" w:lineRule="auto"/>
        <w:textAlignment w:val="baseline"/>
        <w:rPr>
          <w:rFonts w:ascii="Tahoma" w:hAnsi="Tahoma" w:cs="Tahoma"/>
        </w:rPr>
      </w:pPr>
      <w:r w:rsidRPr="2E32ED18">
        <w:rPr>
          <w:rFonts w:ascii="Tahoma" w:hAnsi="Tahoma" w:cs="Tahoma"/>
        </w:rPr>
        <w:t>Housing as a proportion of all advice sought has grown in</w:t>
      </w:r>
      <w:r w:rsidR="00085ABD" w:rsidRPr="2E32ED18">
        <w:rPr>
          <w:rFonts w:ascii="Tahoma" w:hAnsi="Tahoma" w:cs="Tahoma"/>
        </w:rPr>
        <w:t xml:space="preserve"> the past year</w:t>
      </w:r>
      <w:r w:rsidR="008D01E7" w:rsidRPr="2E32ED18">
        <w:rPr>
          <w:rFonts w:ascii="Tahoma" w:hAnsi="Tahoma" w:cs="Tahoma"/>
        </w:rPr>
        <w:t>. As</w:t>
      </w:r>
      <w:r w:rsidR="00085ABD" w:rsidRPr="2E32ED18">
        <w:rPr>
          <w:rFonts w:ascii="Tahoma" w:hAnsi="Tahoma" w:cs="Tahoma"/>
        </w:rPr>
        <w:t xml:space="preserve"> Q4 of 2020/21 came to a close</w:t>
      </w:r>
      <w:r w:rsidR="008D01E7" w:rsidRPr="2E32ED18">
        <w:rPr>
          <w:rFonts w:ascii="Tahoma" w:hAnsi="Tahoma" w:cs="Tahoma"/>
        </w:rPr>
        <w:t>, housing advice remained higher than pre-pandemic levels</w:t>
      </w:r>
      <w:r w:rsidR="00085ABD" w:rsidRPr="2E32ED18">
        <w:rPr>
          <w:rFonts w:ascii="Tahoma" w:hAnsi="Tahoma" w:cs="Tahoma"/>
        </w:rPr>
        <w:t xml:space="preserve">. </w:t>
      </w:r>
      <w:r w:rsidR="5798AB70" w:rsidRPr="354F2600">
        <w:rPr>
          <w:rFonts w:ascii="Tahoma" w:hAnsi="Tahoma" w:cs="Tahoma"/>
        </w:rPr>
        <w:t xml:space="preserve">The proportion of </w:t>
      </w:r>
      <w:r w:rsidR="49153B91" w:rsidRPr="354F2600">
        <w:rPr>
          <w:rFonts w:ascii="Tahoma" w:hAnsi="Tahoma" w:cs="Tahoma"/>
        </w:rPr>
        <w:t>h</w:t>
      </w:r>
      <w:r w:rsidR="00193FE5" w:rsidRPr="354F2600">
        <w:rPr>
          <w:rFonts w:ascii="Tahoma" w:hAnsi="Tahoma" w:cs="Tahoma"/>
        </w:rPr>
        <w:t>ousing</w:t>
      </w:r>
      <w:r w:rsidR="00193FE5" w:rsidRPr="2E32ED18">
        <w:rPr>
          <w:rFonts w:ascii="Tahoma" w:hAnsi="Tahoma" w:cs="Tahoma"/>
        </w:rPr>
        <w:t xml:space="preserve"> advice peaked at 5.8% of all advice in Q2 of 2020/21</w:t>
      </w:r>
      <w:r w:rsidR="009271D1" w:rsidRPr="2E32ED18">
        <w:rPr>
          <w:rFonts w:ascii="Tahoma" w:hAnsi="Tahoma" w:cs="Tahoma"/>
        </w:rPr>
        <w:t xml:space="preserve">, up </w:t>
      </w:r>
      <w:r w:rsidR="009271D1" w:rsidRPr="2E32ED18">
        <w:rPr>
          <w:rFonts w:ascii="Tahoma" w:hAnsi="Tahoma" w:cs="Tahoma"/>
        </w:rPr>
        <w:lastRenderedPageBreak/>
        <w:t>from 4.5% in the same quarter the previous year.</w:t>
      </w:r>
      <w:r w:rsidR="00A204A8" w:rsidRPr="2E32ED18">
        <w:rPr>
          <w:rFonts w:ascii="Tahoma" w:hAnsi="Tahoma" w:cs="Tahoma"/>
        </w:rPr>
        <w:t xml:space="preserve"> Benefits remains the largest advice area but</w:t>
      </w:r>
      <w:r w:rsidR="64E1038D" w:rsidRPr="212EE9DA">
        <w:rPr>
          <w:rFonts w:ascii="Tahoma" w:hAnsi="Tahoma" w:cs="Tahoma"/>
        </w:rPr>
        <w:t xml:space="preserve"> </w:t>
      </w:r>
      <w:r w:rsidR="00821979" w:rsidRPr="2E32ED18">
        <w:rPr>
          <w:rFonts w:ascii="Tahoma" w:hAnsi="Tahoma" w:cs="Tahoma"/>
        </w:rPr>
        <w:t>actually decreased by over 3 percentage points between Q1 of 2019/20 and Q4 of 2020/21</w:t>
      </w:r>
      <w:r w:rsidR="007C385A" w:rsidRPr="2E32ED18">
        <w:rPr>
          <w:rFonts w:ascii="Tahoma" w:hAnsi="Tahoma" w:cs="Tahoma"/>
        </w:rPr>
        <w:t xml:space="preserve"> </w:t>
      </w:r>
      <w:r w:rsidR="10C459B7" w:rsidRPr="7DF2A63A">
        <w:rPr>
          <w:rFonts w:ascii="Tahoma" w:hAnsi="Tahoma" w:cs="Tahoma"/>
        </w:rPr>
        <w:t>a</w:t>
      </w:r>
      <w:r w:rsidR="00660FCF" w:rsidRPr="7DF2A63A">
        <w:rPr>
          <w:rFonts w:ascii="Tahoma" w:hAnsi="Tahoma" w:cs="Tahoma"/>
        </w:rPr>
        <w:t>s</w:t>
      </w:r>
      <w:r w:rsidR="007C385A" w:rsidRPr="2E32ED18">
        <w:rPr>
          <w:rFonts w:ascii="Tahoma" w:hAnsi="Tahoma" w:cs="Tahoma"/>
        </w:rPr>
        <w:t xml:space="preserve"> proportion of all advice.</w:t>
      </w:r>
    </w:p>
    <w:p w14:paraId="7B37F32B" w14:textId="2C78BDC5" w:rsidR="00274CF1" w:rsidRDefault="00274CF1">
      <w:pPr>
        <w:rPr>
          <w:b/>
        </w:rPr>
      </w:pPr>
    </w:p>
    <w:p w14:paraId="369539F8" w14:textId="5FCDB35E" w:rsidR="009815CF" w:rsidRPr="009815CF" w:rsidRDefault="00996D63" w:rsidP="009815CF">
      <w:pPr>
        <w:rPr>
          <w:rFonts w:ascii="Tahoma" w:hAnsi="Tahoma" w:cs="Tahoma"/>
          <w:b/>
          <w:sz w:val="24"/>
          <w:szCs w:val="24"/>
        </w:rPr>
      </w:pPr>
      <w:r w:rsidRPr="00BC3556">
        <w:rPr>
          <w:rFonts w:ascii="Tahoma" w:hAnsi="Tahoma" w:cs="Tahoma"/>
          <w:b/>
          <w:sz w:val="24"/>
          <w:szCs w:val="24"/>
        </w:rPr>
        <w:t>Most common</w:t>
      </w:r>
      <w:r w:rsidR="000E0E55" w:rsidRPr="00BC3556">
        <w:rPr>
          <w:rFonts w:ascii="Tahoma" w:hAnsi="Tahoma" w:cs="Tahoma"/>
          <w:b/>
          <w:sz w:val="24"/>
          <w:szCs w:val="24"/>
        </w:rPr>
        <w:t xml:space="preserve"> types of housing advice</w:t>
      </w:r>
    </w:p>
    <w:p w14:paraId="0191D985" w14:textId="6FB2057B" w:rsidR="50C0C61A" w:rsidRDefault="50C0C61A" w:rsidP="05464BF3">
      <w:pPr>
        <w:rPr>
          <w:rFonts w:ascii="Tahoma" w:hAnsi="Tahoma" w:cs="Tahoma"/>
          <w:b/>
          <w:bCs/>
          <w:sz w:val="24"/>
          <w:szCs w:val="24"/>
        </w:rPr>
      </w:pPr>
      <w:r w:rsidRPr="05464BF3">
        <w:rPr>
          <w:rFonts w:ascii="Tahoma" w:hAnsi="Tahoma" w:cs="Tahoma"/>
          <w:sz w:val="24"/>
          <w:szCs w:val="24"/>
        </w:rPr>
        <w:t xml:space="preserve">Chart 2. </w:t>
      </w:r>
      <w:r w:rsidR="2ADBF1E6" w:rsidRPr="05464BF3">
        <w:rPr>
          <w:rFonts w:ascii="Tahoma" w:hAnsi="Tahoma" w:cs="Tahoma"/>
          <w:sz w:val="24"/>
          <w:szCs w:val="24"/>
        </w:rPr>
        <w:t xml:space="preserve">Top </w:t>
      </w:r>
      <w:r w:rsidR="4E44C66E" w:rsidRPr="05464BF3">
        <w:rPr>
          <w:rFonts w:ascii="Tahoma" w:hAnsi="Tahoma" w:cs="Tahoma"/>
          <w:sz w:val="24"/>
          <w:szCs w:val="24"/>
        </w:rPr>
        <w:t>h</w:t>
      </w:r>
      <w:r w:rsidR="2ADBF1E6" w:rsidRPr="05464BF3">
        <w:rPr>
          <w:rFonts w:ascii="Tahoma" w:hAnsi="Tahoma" w:cs="Tahoma"/>
          <w:sz w:val="24"/>
          <w:szCs w:val="24"/>
        </w:rPr>
        <w:t>ousing advice areas as a proportion of all housing advice</w:t>
      </w:r>
    </w:p>
    <w:p w14:paraId="716713FB" w14:textId="1A768789" w:rsidR="00744C89" w:rsidRPr="00BC3556" w:rsidRDefault="00744C89">
      <w:pPr>
        <w:rPr>
          <w:rFonts w:ascii="Tahoma" w:hAnsi="Tahoma" w:cs="Tahoma"/>
          <w:b/>
          <w:sz w:val="24"/>
          <w:szCs w:val="24"/>
        </w:rPr>
      </w:pPr>
      <w:r>
        <w:rPr>
          <w:noProof/>
        </w:rPr>
        <w:drawing>
          <wp:inline distT="0" distB="0" distL="0" distR="0" wp14:anchorId="503A5647" wp14:editId="37FD9D59">
            <wp:extent cx="5289550" cy="2743200"/>
            <wp:effectExtent l="0" t="0" r="6350" b="0"/>
            <wp:docPr id="5" name="Chart 5">
              <a:extLst xmlns:a="http://schemas.openxmlformats.org/drawingml/2006/main">
                <a:ext uri="{FF2B5EF4-FFF2-40B4-BE49-F238E27FC236}">
                  <a16:creationId xmlns:a16="http://schemas.microsoft.com/office/drawing/2014/main" id="{C67F1D29-27A0-4EC7-B903-13667567F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EBB8BC" w14:textId="683BC8BE" w:rsidR="007C3A82" w:rsidRDefault="007C3A82"/>
    <w:p w14:paraId="7960F613" w14:textId="0691CE42" w:rsidR="00A629CC" w:rsidRPr="0093672E" w:rsidRDefault="5D98C1A4">
      <w:pPr>
        <w:rPr>
          <w:rFonts w:ascii="Tahoma" w:hAnsi="Tahoma" w:cs="Tahoma"/>
          <w:sz w:val="24"/>
          <w:szCs w:val="24"/>
        </w:rPr>
      </w:pPr>
      <w:r w:rsidRPr="2E32ED18">
        <w:rPr>
          <w:rFonts w:ascii="Tahoma" w:hAnsi="Tahoma" w:cs="Tahoma"/>
          <w:sz w:val="24"/>
          <w:szCs w:val="24"/>
        </w:rPr>
        <w:t xml:space="preserve">The proportion of </w:t>
      </w:r>
      <w:r w:rsidR="212531DF" w:rsidRPr="2E32ED18">
        <w:rPr>
          <w:rFonts w:ascii="Tahoma" w:hAnsi="Tahoma" w:cs="Tahoma"/>
          <w:sz w:val="24"/>
          <w:szCs w:val="24"/>
        </w:rPr>
        <w:t>a</w:t>
      </w:r>
      <w:r w:rsidR="00B9035A" w:rsidRPr="2E32ED18">
        <w:rPr>
          <w:rFonts w:ascii="Tahoma" w:hAnsi="Tahoma" w:cs="Tahoma"/>
          <w:sz w:val="24"/>
          <w:szCs w:val="24"/>
        </w:rPr>
        <w:t>dvice about the private rented sector</w:t>
      </w:r>
      <w:r w:rsidR="00577332" w:rsidRPr="2E32ED18">
        <w:rPr>
          <w:rFonts w:ascii="Tahoma" w:hAnsi="Tahoma" w:cs="Tahoma"/>
          <w:sz w:val="24"/>
          <w:szCs w:val="24"/>
        </w:rPr>
        <w:t xml:space="preserve"> </w:t>
      </w:r>
      <w:r w:rsidR="342F112C" w:rsidRPr="2E32ED18">
        <w:rPr>
          <w:rFonts w:ascii="Tahoma" w:hAnsi="Tahoma" w:cs="Tahoma"/>
          <w:sz w:val="24"/>
          <w:szCs w:val="24"/>
        </w:rPr>
        <w:t xml:space="preserve">(PRS) </w:t>
      </w:r>
      <w:r w:rsidR="00577332" w:rsidRPr="2E32ED18">
        <w:rPr>
          <w:rFonts w:ascii="Tahoma" w:hAnsi="Tahoma" w:cs="Tahoma"/>
          <w:sz w:val="24"/>
          <w:szCs w:val="24"/>
        </w:rPr>
        <w:t>as a whole</w:t>
      </w:r>
      <w:r w:rsidR="00B9035A" w:rsidRPr="2E32ED18">
        <w:rPr>
          <w:rFonts w:ascii="Tahoma" w:hAnsi="Tahoma" w:cs="Tahoma"/>
          <w:sz w:val="24"/>
          <w:szCs w:val="24"/>
        </w:rPr>
        <w:t xml:space="preserve"> jumped </w:t>
      </w:r>
      <w:r w:rsidR="00674917" w:rsidRPr="2E32ED18">
        <w:rPr>
          <w:rFonts w:ascii="Tahoma" w:hAnsi="Tahoma" w:cs="Tahoma"/>
          <w:sz w:val="24"/>
          <w:szCs w:val="24"/>
        </w:rPr>
        <w:t xml:space="preserve">quite dramatically </w:t>
      </w:r>
      <w:r w:rsidR="00357B79" w:rsidRPr="2E32ED18">
        <w:rPr>
          <w:rFonts w:ascii="Tahoma" w:hAnsi="Tahoma" w:cs="Tahoma"/>
          <w:sz w:val="24"/>
          <w:szCs w:val="24"/>
        </w:rPr>
        <w:t>in Q1 of 2020/21, an increase of</w:t>
      </w:r>
      <w:r w:rsidR="002C50AA" w:rsidRPr="2E32ED18">
        <w:rPr>
          <w:rFonts w:ascii="Tahoma" w:hAnsi="Tahoma" w:cs="Tahoma"/>
          <w:sz w:val="24"/>
          <w:szCs w:val="24"/>
        </w:rPr>
        <w:t xml:space="preserve"> nearly 8 percentage points compared to the same time in 2019/21. </w:t>
      </w:r>
      <w:r w:rsidR="00AD590E" w:rsidRPr="2E32ED18">
        <w:rPr>
          <w:rFonts w:ascii="Tahoma" w:hAnsi="Tahoma" w:cs="Tahoma"/>
          <w:sz w:val="24"/>
          <w:szCs w:val="24"/>
        </w:rPr>
        <w:t>Although the</w:t>
      </w:r>
      <w:r w:rsidR="00291C51" w:rsidRPr="2E32ED18">
        <w:rPr>
          <w:rFonts w:ascii="Tahoma" w:hAnsi="Tahoma" w:cs="Tahoma"/>
          <w:sz w:val="24"/>
          <w:szCs w:val="24"/>
        </w:rPr>
        <w:t xml:space="preserve"> following quarters of 2020/21 showed </w:t>
      </w:r>
      <w:r w:rsidR="001400D3" w:rsidRPr="2E32ED18">
        <w:rPr>
          <w:rFonts w:ascii="Tahoma" w:hAnsi="Tahoma" w:cs="Tahoma"/>
          <w:sz w:val="24"/>
          <w:szCs w:val="24"/>
        </w:rPr>
        <w:t xml:space="preserve">this trend to be slowing down, </w:t>
      </w:r>
      <w:r w:rsidR="00D80341" w:rsidRPr="2E32ED18">
        <w:rPr>
          <w:rFonts w:ascii="Tahoma" w:hAnsi="Tahoma" w:cs="Tahoma"/>
          <w:sz w:val="24"/>
          <w:szCs w:val="24"/>
        </w:rPr>
        <w:t xml:space="preserve">the </w:t>
      </w:r>
      <w:r w:rsidR="51199DDA" w:rsidRPr="2E32ED18">
        <w:rPr>
          <w:rFonts w:ascii="Tahoma" w:hAnsi="Tahoma" w:cs="Tahoma"/>
          <w:sz w:val="24"/>
          <w:szCs w:val="24"/>
        </w:rPr>
        <w:t>proportion</w:t>
      </w:r>
      <w:r w:rsidR="00D80341" w:rsidRPr="2E32ED18">
        <w:rPr>
          <w:rFonts w:ascii="Tahoma" w:hAnsi="Tahoma" w:cs="Tahoma"/>
          <w:sz w:val="24"/>
          <w:szCs w:val="24"/>
        </w:rPr>
        <w:t xml:space="preserve"> of PRS advice sought as Q4 drew to a close still remained above pre-pandemic levels. This advice code takes into account both landlord and tenant queries.</w:t>
      </w:r>
    </w:p>
    <w:p w14:paraId="446E811C" w14:textId="2F32B114" w:rsidR="00801ECD" w:rsidRPr="0093672E" w:rsidRDefault="30A23997" w:rsidP="00801ECD">
      <w:pPr>
        <w:rPr>
          <w:rFonts w:ascii="Tahoma" w:hAnsi="Tahoma" w:cs="Tahoma"/>
          <w:sz w:val="24"/>
          <w:szCs w:val="24"/>
        </w:rPr>
      </w:pPr>
      <w:r w:rsidRPr="2E32ED18">
        <w:rPr>
          <w:rFonts w:ascii="Tahoma" w:hAnsi="Tahoma" w:cs="Tahoma"/>
          <w:sz w:val="24"/>
          <w:szCs w:val="24"/>
        </w:rPr>
        <w:t xml:space="preserve">The proportion of </w:t>
      </w:r>
      <w:r w:rsidR="0E127B20" w:rsidRPr="2E32ED18">
        <w:rPr>
          <w:rFonts w:ascii="Tahoma" w:hAnsi="Tahoma" w:cs="Tahoma"/>
          <w:sz w:val="24"/>
          <w:szCs w:val="24"/>
        </w:rPr>
        <w:t>a</w:t>
      </w:r>
      <w:r w:rsidR="00801ECD" w:rsidRPr="2E32ED18">
        <w:rPr>
          <w:rFonts w:ascii="Tahoma" w:hAnsi="Tahoma" w:cs="Tahoma"/>
          <w:sz w:val="24"/>
          <w:szCs w:val="24"/>
        </w:rPr>
        <w:t xml:space="preserve">dvice </w:t>
      </w:r>
      <w:r w:rsidR="410C01F2" w:rsidRPr="2E32ED18">
        <w:rPr>
          <w:rFonts w:ascii="Tahoma" w:hAnsi="Tahoma" w:cs="Tahoma"/>
          <w:sz w:val="24"/>
          <w:szCs w:val="24"/>
        </w:rPr>
        <w:t>on</w:t>
      </w:r>
      <w:r w:rsidR="00801ECD" w:rsidRPr="2E32ED18">
        <w:rPr>
          <w:rFonts w:ascii="Tahoma" w:hAnsi="Tahoma" w:cs="Tahoma"/>
          <w:sz w:val="24"/>
          <w:szCs w:val="24"/>
        </w:rPr>
        <w:t xml:space="preserve"> environmental and neighbour issues increased </w:t>
      </w:r>
      <w:r w:rsidR="08979D9B" w:rsidRPr="2E32ED18">
        <w:rPr>
          <w:rFonts w:ascii="Tahoma" w:hAnsi="Tahoma" w:cs="Tahoma"/>
          <w:sz w:val="24"/>
          <w:szCs w:val="24"/>
        </w:rPr>
        <w:t>considerably</w:t>
      </w:r>
      <w:r w:rsidR="00801ECD" w:rsidRPr="2E32ED18">
        <w:rPr>
          <w:rFonts w:ascii="Tahoma" w:hAnsi="Tahoma" w:cs="Tahoma"/>
          <w:sz w:val="24"/>
          <w:szCs w:val="24"/>
        </w:rPr>
        <w:t xml:space="preserve"> between 2019/20 and 2020/21, peaking in Q1 of 2020/21 at over 5 percentage points more than the same quarter the previous year.</w:t>
      </w:r>
    </w:p>
    <w:p w14:paraId="537B6EB7" w14:textId="01FD8265" w:rsidR="00D40468" w:rsidRPr="0093672E" w:rsidRDefault="00D40468">
      <w:pPr>
        <w:rPr>
          <w:rFonts w:ascii="Tahoma" w:hAnsi="Tahoma" w:cs="Tahoma"/>
          <w:sz w:val="24"/>
          <w:szCs w:val="24"/>
        </w:rPr>
      </w:pPr>
      <w:r w:rsidRPr="2E32ED18">
        <w:rPr>
          <w:rFonts w:ascii="Tahoma" w:hAnsi="Tahoma" w:cs="Tahoma"/>
          <w:sz w:val="24"/>
          <w:szCs w:val="24"/>
        </w:rPr>
        <w:t xml:space="preserve">Advice about local authority housing </w:t>
      </w:r>
      <w:r w:rsidR="478C1B3C" w:rsidRPr="2E32ED18">
        <w:rPr>
          <w:rFonts w:ascii="Tahoma" w:hAnsi="Tahoma" w:cs="Tahoma"/>
          <w:sz w:val="24"/>
          <w:szCs w:val="24"/>
        </w:rPr>
        <w:t xml:space="preserve">(as a proportion of all housing advice) </w:t>
      </w:r>
      <w:r w:rsidRPr="2E32ED18">
        <w:rPr>
          <w:rFonts w:ascii="Tahoma" w:hAnsi="Tahoma" w:cs="Tahoma"/>
          <w:sz w:val="24"/>
          <w:szCs w:val="24"/>
        </w:rPr>
        <w:t>saw a notable downturn</w:t>
      </w:r>
      <w:r w:rsidR="0023263C" w:rsidRPr="2E32ED18">
        <w:rPr>
          <w:rFonts w:ascii="Tahoma" w:hAnsi="Tahoma" w:cs="Tahoma"/>
          <w:sz w:val="24"/>
          <w:szCs w:val="24"/>
        </w:rPr>
        <w:t xml:space="preserve"> at the start of 2020/21</w:t>
      </w:r>
      <w:r w:rsidR="00801ECD" w:rsidRPr="2E32ED18">
        <w:rPr>
          <w:rFonts w:ascii="Tahoma" w:hAnsi="Tahoma" w:cs="Tahoma"/>
          <w:sz w:val="24"/>
          <w:szCs w:val="24"/>
        </w:rPr>
        <w:t xml:space="preserve"> compared to the year before</w:t>
      </w:r>
      <w:r w:rsidR="0023263C" w:rsidRPr="2E32ED18">
        <w:rPr>
          <w:rFonts w:ascii="Tahoma" w:hAnsi="Tahoma" w:cs="Tahoma"/>
          <w:sz w:val="24"/>
          <w:szCs w:val="24"/>
        </w:rPr>
        <w:t xml:space="preserve">, but slowly </w:t>
      </w:r>
      <w:r w:rsidR="00801ECD" w:rsidRPr="2E32ED18">
        <w:rPr>
          <w:rFonts w:ascii="Tahoma" w:hAnsi="Tahoma" w:cs="Tahoma"/>
          <w:sz w:val="24"/>
          <w:szCs w:val="24"/>
        </w:rPr>
        <w:t>returned</w:t>
      </w:r>
      <w:r w:rsidR="0023263C" w:rsidRPr="2E32ED18">
        <w:rPr>
          <w:rFonts w:ascii="Tahoma" w:hAnsi="Tahoma" w:cs="Tahoma"/>
          <w:sz w:val="24"/>
          <w:szCs w:val="24"/>
        </w:rPr>
        <w:t xml:space="preserve"> to pre-pandemic levels.</w:t>
      </w:r>
      <w:r w:rsidR="00F84C2D" w:rsidRPr="2E32ED18">
        <w:rPr>
          <w:rFonts w:ascii="Tahoma" w:hAnsi="Tahoma" w:cs="Tahoma"/>
          <w:sz w:val="24"/>
          <w:szCs w:val="24"/>
        </w:rPr>
        <w:t xml:space="preserve"> </w:t>
      </w:r>
      <w:r w:rsidR="4B3C5470" w:rsidRPr="2E32ED18">
        <w:rPr>
          <w:rFonts w:ascii="Tahoma" w:hAnsi="Tahoma" w:cs="Tahoma"/>
          <w:sz w:val="24"/>
          <w:szCs w:val="24"/>
        </w:rPr>
        <w:t xml:space="preserve">The proportion of </w:t>
      </w:r>
      <w:r w:rsidR="4962260C" w:rsidRPr="2E32ED18">
        <w:rPr>
          <w:rFonts w:ascii="Tahoma" w:hAnsi="Tahoma" w:cs="Tahoma"/>
          <w:sz w:val="24"/>
          <w:szCs w:val="24"/>
        </w:rPr>
        <w:t>a</w:t>
      </w:r>
      <w:r w:rsidR="00557C03" w:rsidRPr="2E32ED18">
        <w:rPr>
          <w:rFonts w:ascii="Tahoma" w:hAnsi="Tahoma" w:cs="Tahoma"/>
          <w:sz w:val="24"/>
          <w:szCs w:val="24"/>
        </w:rPr>
        <w:t>dvice about RSL housing remained fairly static</w:t>
      </w:r>
      <w:r w:rsidR="001A023C" w:rsidRPr="2E32ED18">
        <w:rPr>
          <w:rFonts w:ascii="Tahoma" w:hAnsi="Tahoma" w:cs="Tahoma"/>
          <w:sz w:val="24"/>
          <w:szCs w:val="24"/>
        </w:rPr>
        <w:t xml:space="preserve"> across the two </w:t>
      </w:r>
      <w:r w:rsidR="001E63F8" w:rsidRPr="2E32ED18">
        <w:rPr>
          <w:rFonts w:ascii="Tahoma" w:hAnsi="Tahoma" w:cs="Tahoma"/>
          <w:sz w:val="24"/>
          <w:szCs w:val="24"/>
        </w:rPr>
        <w:t>years but</w:t>
      </w:r>
      <w:r w:rsidR="00F43BEC" w:rsidRPr="2E32ED18">
        <w:rPr>
          <w:rFonts w:ascii="Tahoma" w:hAnsi="Tahoma" w:cs="Tahoma"/>
          <w:sz w:val="24"/>
          <w:szCs w:val="24"/>
        </w:rPr>
        <w:t xml:space="preserve"> </w:t>
      </w:r>
      <w:r w:rsidR="005343E5" w:rsidRPr="2E32ED18">
        <w:rPr>
          <w:rFonts w:ascii="Tahoma" w:hAnsi="Tahoma" w:cs="Tahoma"/>
          <w:sz w:val="24"/>
          <w:szCs w:val="24"/>
        </w:rPr>
        <w:t>did experience</w:t>
      </w:r>
      <w:r w:rsidR="00F43BEC" w:rsidRPr="2E32ED18">
        <w:rPr>
          <w:rFonts w:ascii="Tahoma" w:hAnsi="Tahoma" w:cs="Tahoma"/>
          <w:sz w:val="24"/>
          <w:szCs w:val="24"/>
        </w:rPr>
        <w:t xml:space="preserve"> a</w:t>
      </w:r>
      <w:r w:rsidR="00265EB4" w:rsidRPr="2E32ED18">
        <w:rPr>
          <w:rFonts w:ascii="Tahoma" w:hAnsi="Tahoma" w:cs="Tahoma"/>
          <w:sz w:val="24"/>
          <w:szCs w:val="24"/>
        </w:rPr>
        <w:t xml:space="preserve"> notable rise in the last quarter of 2020/21</w:t>
      </w:r>
      <w:r w:rsidR="001A023C" w:rsidRPr="2E32ED18">
        <w:rPr>
          <w:rFonts w:ascii="Tahoma" w:hAnsi="Tahoma" w:cs="Tahoma"/>
          <w:sz w:val="24"/>
          <w:szCs w:val="24"/>
        </w:rPr>
        <w:t>.</w:t>
      </w:r>
    </w:p>
    <w:p w14:paraId="5F22BD6C" w14:textId="53CAB3C2" w:rsidR="0085005A" w:rsidRPr="0093672E" w:rsidRDefault="0085005A">
      <w:pPr>
        <w:rPr>
          <w:rFonts w:ascii="Tahoma" w:hAnsi="Tahoma" w:cs="Tahoma"/>
          <w:sz w:val="24"/>
          <w:szCs w:val="24"/>
        </w:rPr>
      </w:pPr>
      <w:r w:rsidRPr="2E32ED18">
        <w:rPr>
          <w:rFonts w:ascii="Tahoma" w:hAnsi="Tahoma" w:cs="Tahoma"/>
          <w:sz w:val="24"/>
          <w:szCs w:val="24"/>
        </w:rPr>
        <w:t xml:space="preserve">Lastly, </w:t>
      </w:r>
      <w:r w:rsidR="41A9B6FA" w:rsidRPr="2E32ED18">
        <w:rPr>
          <w:rFonts w:ascii="Tahoma" w:hAnsi="Tahoma" w:cs="Tahoma"/>
          <w:sz w:val="24"/>
          <w:szCs w:val="24"/>
        </w:rPr>
        <w:t xml:space="preserve">the proportion of all housing </w:t>
      </w:r>
      <w:r w:rsidRPr="2E32ED18">
        <w:rPr>
          <w:rFonts w:ascii="Tahoma" w:hAnsi="Tahoma" w:cs="Tahoma"/>
          <w:sz w:val="24"/>
          <w:szCs w:val="24"/>
        </w:rPr>
        <w:t xml:space="preserve">advice </w:t>
      </w:r>
      <w:r w:rsidR="20A299B6" w:rsidRPr="2E32ED18">
        <w:rPr>
          <w:rFonts w:ascii="Tahoma" w:hAnsi="Tahoma" w:cs="Tahoma"/>
          <w:sz w:val="24"/>
          <w:szCs w:val="24"/>
        </w:rPr>
        <w:t xml:space="preserve">given </w:t>
      </w:r>
      <w:r w:rsidRPr="2E32ED18">
        <w:rPr>
          <w:rFonts w:ascii="Tahoma" w:hAnsi="Tahoma" w:cs="Tahoma"/>
          <w:sz w:val="24"/>
          <w:szCs w:val="24"/>
        </w:rPr>
        <w:t xml:space="preserve">on </w:t>
      </w:r>
      <w:r w:rsidR="00F85DEA" w:rsidRPr="2E32ED18">
        <w:rPr>
          <w:rFonts w:ascii="Tahoma" w:hAnsi="Tahoma" w:cs="Tahoma"/>
          <w:sz w:val="24"/>
          <w:szCs w:val="24"/>
        </w:rPr>
        <w:t>threatened homelessness</w:t>
      </w:r>
      <w:r w:rsidR="211D859F" w:rsidRPr="2E32ED18">
        <w:rPr>
          <w:rFonts w:ascii="Tahoma" w:hAnsi="Tahoma" w:cs="Tahoma"/>
          <w:sz w:val="24"/>
          <w:szCs w:val="24"/>
        </w:rPr>
        <w:t xml:space="preserve"> specifically</w:t>
      </w:r>
      <w:r w:rsidRPr="2E32ED18">
        <w:rPr>
          <w:rFonts w:ascii="Tahoma" w:hAnsi="Tahoma" w:cs="Tahoma"/>
          <w:sz w:val="24"/>
          <w:szCs w:val="24"/>
        </w:rPr>
        <w:t xml:space="preserve"> decreased </w:t>
      </w:r>
      <w:r w:rsidR="00B75E6C" w:rsidRPr="2E32ED18">
        <w:rPr>
          <w:rFonts w:ascii="Tahoma" w:hAnsi="Tahoma" w:cs="Tahoma"/>
          <w:sz w:val="24"/>
          <w:szCs w:val="24"/>
        </w:rPr>
        <w:t>sharply between 2019/20 and 2020/21</w:t>
      </w:r>
      <w:r w:rsidR="003407C5" w:rsidRPr="2E32ED18">
        <w:rPr>
          <w:rFonts w:ascii="Tahoma" w:hAnsi="Tahoma" w:cs="Tahoma"/>
          <w:sz w:val="24"/>
          <w:szCs w:val="24"/>
        </w:rPr>
        <w:t>, from a high of 14.4% of all housing advice in Q3 of 2019/20 to a low of 6.0% in Q4 of 2020/21</w:t>
      </w:r>
      <w:r w:rsidR="00AF3840" w:rsidRPr="2E32ED18">
        <w:rPr>
          <w:rFonts w:ascii="Tahoma" w:hAnsi="Tahoma" w:cs="Tahoma"/>
          <w:sz w:val="24"/>
          <w:szCs w:val="24"/>
        </w:rPr>
        <w:t xml:space="preserve">. </w:t>
      </w:r>
      <w:r w:rsidR="0093672E" w:rsidRPr="2E32ED18">
        <w:rPr>
          <w:rFonts w:ascii="Tahoma" w:hAnsi="Tahoma" w:cs="Tahoma"/>
          <w:sz w:val="24"/>
          <w:szCs w:val="24"/>
        </w:rPr>
        <w:t xml:space="preserve">The proportion of advice in this area dropped sharply at the beginning of 2020/21 and a consistent downward trend was observed throughout 2020/21. Later in this paper </w:t>
      </w:r>
      <w:r w:rsidR="0093672E" w:rsidRPr="2E32ED18">
        <w:rPr>
          <w:rFonts w:ascii="Tahoma" w:hAnsi="Tahoma" w:cs="Tahoma"/>
          <w:sz w:val="24"/>
          <w:szCs w:val="24"/>
        </w:rPr>
        <w:lastRenderedPageBreak/>
        <w:t>we will consider other types of homelessness advice in conjunction with threatened homelessness.</w:t>
      </w:r>
    </w:p>
    <w:p w14:paraId="3A1A759B" w14:textId="77777777" w:rsidR="00277D9B" w:rsidRDefault="00277D9B"/>
    <w:p w14:paraId="40980F28" w14:textId="77777777" w:rsidR="00277D9B" w:rsidRDefault="00277D9B"/>
    <w:p w14:paraId="4B4A8564" w14:textId="5E452B77" w:rsidR="00277D9B" w:rsidRDefault="00277D9B"/>
    <w:p w14:paraId="1EA16932" w14:textId="2E9BB3EF" w:rsidR="00997C2B" w:rsidRDefault="00997C2B"/>
    <w:p w14:paraId="2652963E" w14:textId="495A87C3" w:rsidR="009B33FA" w:rsidRDefault="009B33FA"/>
    <w:p w14:paraId="3117295E" w14:textId="65DD8700" w:rsidR="009B33FA" w:rsidRDefault="009B33FA"/>
    <w:p w14:paraId="7E90FB64" w14:textId="1B0916DA" w:rsidR="00274CF1" w:rsidRDefault="00274CF1"/>
    <w:p w14:paraId="46BE75D9" w14:textId="13BBD8B5" w:rsidR="00274CF1" w:rsidRDefault="00274CF1"/>
    <w:p w14:paraId="2875472F" w14:textId="3638AF17" w:rsidR="00274CF1" w:rsidRDefault="00274CF1"/>
    <w:p w14:paraId="37A1D71A" w14:textId="56C5E0CD" w:rsidR="00274CF1" w:rsidRDefault="00274CF1"/>
    <w:p w14:paraId="004E08F2" w14:textId="4CB9D1AD" w:rsidR="00274CF1" w:rsidRDefault="00274CF1"/>
    <w:p w14:paraId="0FADC8AC" w14:textId="18F822C9" w:rsidR="00274CF1" w:rsidRDefault="00274CF1"/>
    <w:p w14:paraId="025B4A9F" w14:textId="034A61D3" w:rsidR="00274CF1" w:rsidRDefault="00274CF1"/>
    <w:p w14:paraId="579787A3" w14:textId="6B3B5A97" w:rsidR="00274CF1" w:rsidRDefault="00274CF1"/>
    <w:p w14:paraId="5F0F3802" w14:textId="2F85E701" w:rsidR="00274CF1" w:rsidRDefault="00274CF1"/>
    <w:p w14:paraId="3EFBD9D2" w14:textId="5EE01991" w:rsidR="00801993" w:rsidRDefault="00801993"/>
    <w:p w14:paraId="5641A611" w14:textId="2F8CC493" w:rsidR="00801993" w:rsidRDefault="00801993"/>
    <w:p w14:paraId="465E128B" w14:textId="21FA41DA" w:rsidR="00801993" w:rsidRDefault="00801993"/>
    <w:p w14:paraId="18BD1C7E" w14:textId="29FACE83" w:rsidR="00801993" w:rsidRDefault="00801993"/>
    <w:p w14:paraId="15D14F09" w14:textId="19D1BEC6" w:rsidR="00801993" w:rsidRDefault="00801993"/>
    <w:p w14:paraId="1E9075BE" w14:textId="77777777" w:rsidR="00801993" w:rsidRDefault="00801993"/>
    <w:p w14:paraId="0B1A43DE" w14:textId="09AA4D7B" w:rsidR="00274CF1" w:rsidRDefault="00274CF1"/>
    <w:p w14:paraId="656B1324" w14:textId="57CA3367" w:rsidR="00274CF1" w:rsidRDefault="00274CF1"/>
    <w:p w14:paraId="0322E2C5" w14:textId="6C6245B4" w:rsidR="00274CF1" w:rsidRDefault="00274CF1"/>
    <w:p w14:paraId="1118F5B2" w14:textId="0596560E" w:rsidR="00274CF1" w:rsidRDefault="00274CF1"/>
    <w:p w14:paraId="737006E3" w14:textId="2BC52E53" w:rsidR="00274CF1" w:rsidRDefault="00274CF1"/>
    <w:p w14:paraId="468EE35E" w14:textId="72B57658" w:rsidR="00274CF1" w:rsidRDefault="00274CF1"/>
    <w:p w14:paraId="368A0F12" w14:textId="0BD8E3A8" w:rsidR="00274CF1" w:rsidRDefault="00274CF1"/>
    <w:p w14:paraId="1AA26020" w14:textId="77777777" w:rsidR="001F742B" w:rsidRDefault="001F742B"/>
    <w:p w14:paraId="1132F964" w14:textId="7A28D42E" w:rsidR="00A629CC" w:rsidRDefault="004F2079">
      <w:pPr>
        <w:rPr>
          <w:rFonts w:ascii="Tahoma" w:hAnsi="Tahoma" w:cs="Tahoma"/>
          <w:b/>
          <w:sz w:val="24"/>
          <w:szCs w:val="24"/>
        </w:rPr>
      </w:pPr>
      <w:r w:rsidRPr="00CD3AE7">
        <w:rPr>
          <w:rFonts w:ascii="Tahoma" w:hAnsi="Tahoma" w:cs="Tahoma"/>
          <w:b/>
          <w:sz w:val="24"/>
          <w:szCs w:val="24"/>
        </w:rPr>
        <w:lastRenderedPageBreak/>
        <w:t>Private Rented Sector advice</w:t>
      </w:r>
    </w:p>
    <w:p w14:paraId="6AC1AB2E" w14:textId="0F0498E9" w:rsidR="41F22679" w:rsidRDefault="41F22679" w:rsidP="05464BF3">
      <w:pPr>
        <w:rPr>
          <w:rFonts w:ascii="Tahoma" w:hAnsi="Tahoma" w:cs="Tahoma"/>
          <w:b/>
          <w:bCs/>
          <w:sz w:val="24"/>
          <w:szCs w:val="24"/>
        </w:rPr>
      </w:pPr>
      <w:r w:rsidRPr="05464BF3">
        <w:rPr>
          <w:rFonts w:ascii="Tahoma" w:hAnsi="Tahoma" w:cs="Tahoma"/>
          <w:sz w:val="24"/>
          <w:szCs w:val="24"/>
        </w:rPr>
        <w:t>Chart 3. Top PRS advice areas as a proportion of all PRS advice</w:t>
      </w:r>
    </w:p>
    <w:p w14:paraId="0B60DAAE" w14:textId="1DB20354" w:rsidR="00850BD3" w:rsidRPr="007103B0" w:rsidRDefault="00850BD3">
      <w:pPr>
        <w:rPr>
          <w:rFonts w:ascii="Tahoma" w:hAnsi="Tahoma" w:cs="Tahoma"/>
          <w:b/>
          <w:sz w:val="24"/>
          <w:szCs w:val="24"/>
        </w:rPr>
      </w:pPr>
      <w:r>
        <w:rPr>
          <w:noProof/>
        </w:rPr>
        <w:drawing>
          <wp:inline distT="0" distB="0" distL="0" distR="0" wp14:anchorId="5136773F" wp14:editId="61310754">
            <wp:extent cx="5702300" cy="2743200"/>
            <wp:effectExtent l="0" t="0" r="0" b="0"/>
            <wp:docPr id="10" name="Chart 10">
              <a:extLst xmlns:a="http://schemas.openxmlformats.org/drawingml/2006/main">
                <a:ext uri="{FF2B5EF4-FFF2-40B4-BE49-F238E27FC236}">
                  <a16:creationId xmlns:a16="http://schemas.microsoft.com/office/drawing/2014/main" id="{54A286BF-D846-4098-8235-4ABB997F3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932582" w14:textId="1C229AFD" w:rsidR="00DE3692" w:rsidRDefault="00DE3692"/>
    <w:p w14:paraId="549C41B3" w14:textId="77777777" w:rsidR="006A72BA" w:rsidRDefault="006A72BA">
      <w:pPr>
        <w:rPr>
          <w:rFonts w:ascii="Tahoma" w:hAnsi="Tahoma" w:cs="Tahoma"/>
          <w:sz w:val="24"/>
          <w:szCs w:val="24"/>
        </w:rPr>
      </w:pPr>
    </w:p>
    <w:p w14:paraId="58DCBBBA" w14:textId="225EEE13" w:rsidR="005644F5" w:rsidRPr="00E21BF0" w:rsidRDefault="00CA5E3B">
      <w:pPr>
        <w:rPr>
          <w:rFonts w:ascii="Tahoma" w:hAnsi="Tahoma" w:cs="Tahoma"/>
          <w:sz w:val="24"/>
          <w:szCs w:val="24"/>
        </w:rPr>
      </w:pPr>
      <w:r w:rsidRPr="2E32ED18">
        <w:rPr>
          <w:rFonts w:ascii="Tahoma" w:hAnsi="Tahoma" w:cs="Tahoma"/>
          <w:sz w:val="24"/>
          <w:szCs w:val="24"/>
        </w:rPr>
        <w:t xml:space="preserve">Moving onto level 3 advice, </w:t>
      </w:r>
      <w:r w:rsidR="00997C2B" w:rsidRPr="2E32ED18">
        <w:rPr>
          <w:rFonts w:ascii="Tahoma" w:hAnsi="Tahoma" w:cs="Tahoma"/>
          <w:sz w:val="24"/>
          <w:szCs w:val="24"/>
        </w:rPr>
        <w:t xml:space="preserve">the </w:t>
      </w:r>
      <w:r w:rsidRPr="2E32ED18">
        <w:rPr>
          <w:rFonts w:ascii="Tahoma" w:hAnsi="Tahoma" w:cs="Tahoma"/>
          <w:sz w:val="24"/>
          <w:szCs w:val="24"/>
        </w:rPr>
        <w:t>types of private sector advice</w:t>
      </w:r>
      <w:r w:rsidR="00704C16" w:rsidRPr="2E32ED18">
        <w:rPr>
          <w:rFonts w:ascii="Tahoma" w:hAnsi="Tahoma" w:cs="Tahoma"/>
          <w:sz w:val="24"/>
          <w:szCs w:val="24"/>
        </w:rPr>
        <w:t xml:space="preserve"> given by bureaux saw</w:t>
      </w:r>
      <w:r w:rsidR="003A0B18" w:rsidRPr="2E32ED18">
        <w:rPr>
          <w:rFonts w:ascii="Tahoma" w:hAnsi="Tahoma" w:cs="Tahoma"/>
          <w:sz w:val="24"/>
          <w:szCs w:val="24"/>
        </w:rPr>
        <w:t xml:space="preserve"> some </w:t>
      </w:r>
      <w:r w:rsidR="00704C16" w:rsidRPr="2E32ED18">
        <w:rPr>
          <w:rFonts w:ascii="Tahoma" w:hAnsi="Tahoma" w:cs="Tahoma"/>
          <w:sz w:val="24"/>
          <w:szCs w:val="24"/>
        </w:rPr>
        <w:t xml:space="preserve">notable </w:t>
      </w:r>
      <w:r w:rsidR="003A0B18" w:rsidRPr="2E32ED18">
        <w:rPr>
          <w:rFonts w:ascii="Tahoma" w:hAnsi="Tahoma" w:cs="Tahoma"/>
          <w:sz w:val="24"/>
          <w:szCs w:val="24"/>
        </w:rPr>
        <w:t xml:space="preserve">changes between 2019/20 and 2020/21. </w:t>
      </w:r>
      <w:r w:rsidR="005644F5" w:rsidRPr="2E32ED18">
        <w:rPr>
          <w:rFonts w:ascii="Tahoma" w:hAnsi="Tahoma" w:cs="Tahoma"/>
          <w:sz w:val="24"/>
          <w:szCs w:val="24"/>
        </w:rPr>
        <w:t>Q1 of 2020/21 showed a growth</w:t>
      </w:r>
      <w:r w:rsidR="00DC61D8" w:rsidRPr="2E32ED18">
        <w:rPr>
          <w:rFonts w:ascii="Tahoma" w:hAnsi="Tahoma" w:cs="Tahoma"/>
          <w:sz w:val="24"/>
          <w:szCs w:val="24"/>
        </w:rPr>
        <w:t xml:space="preserve"> of 4 percentage points</w:t>
      </w:r>
      <w:r w:rsidR="005644F5" w:rsidRPr="2E32ED18">
        <w:rPr>
          <w:rFonts w:ascii="Tahoma" w:hAnsi="Tahoma" w:cs="Tahoma"/>
          <w:sz w:val="24"/>
          <w:szCs w:val="24"/>
        </w:rPr>
        <w:t xml:space="preserve"> in the </w:t>
      </w:r>
      <w:r w:rsidR="54594804" w:rsidRPr="2E32ED18">
        <w:rPr>
          <w:rFonts w:ascii="Tahoma" w:hAnsi="Tahoma" w:cs="Tahoma"/>
          <w:sz w:val="24"/>
          <w:szCs w:val="24"/>
        </w:rPr>
        <w:t>proportion</w:t>
      </w:r>
      <w:r w:rsidR="005644F5" w:rsidRPr="2E32ED18">
        <w:rPr>
          <w:rFonts w:ascii="Tahoma" w:hAnsi="Tahoma" w:cs="Tahoma"/>
          <w:sz w:val="24"/>
          <w:szCs w:val="24"/>
        </w:rPr>
        <w:t xml:space="preserve"> of advice given about rents</w:t>
      </w:r>
      <w:r w:rsidR="001552B5" w:rsidRPr="2E32ED18">
        <w:rPr>
          <w:rFonts w:ascii="Tahoma" w:hAnsi="Tahoma" w:cs="Tahoma"/>
          <w:sz w:val="24"/>
          <w:szCs w:val="24"/>
        </w:rPr>
        <w:t xml:space="preserve"> compared to the same period the previous year</w:t>
      </w:r>
      <w:r w:rsidR="00DC61D8" w:rsidRPr="2E32ED18">
        <w:rPr>
          <w:rFonts w:ascii="Tahoma" w:hAnsi="Tahoma" w:cs="Tahoma"/>
          <w:sz w:val="24"/>
          <w:szCs w:val="24"/>
        </w:rPr>
        <w:t xml:space="preserve"> although this initial growth tapered down</w:t>
      </w:r>
      <w:r w:rsidR="00704C16" w:rsidRPr="2E32ED18">
        <w:rPr>
          <w:rFonts w:ascii="Tahoma" w:hAnsi="Tahoma" w:cs="Tahoma"/>
          <w:sz w:val="24"/>
          <w:szCs w:val="24"/>
        </w:rPr>
        <w:t xml:space="preserve"> again</w:t>
      </w:r>
      <w:r w:rsidR="00DC61D8" w:rsidRPr="2E32ED18">
        <w:rPr>
          <w:rFonts w:ascii="Tahoma" w:hAnsi="Tahoma" w:cs="Tahoma"/>
          <w:sz w:val="24"/>
          <w:szCs w:val="24"/>
        </w:rPr>
        <w:t xml:space="preserve"> to below pre-pandemic levels by Q4</w:t>
      </w:r>
      <w:r w:rsidR="00BA6E5D" w:rsidRPr="2E32ED18">
        <w:rPr>
          <w:rFonts w:ascii="Tahoma" w:hAnsi="Tahoma" w:cs="Tahoma"/>
          <w:sz w:val="24"/>
          <w:szCs w:val="24"/>
        </w:rPr>
        <w:t xml:space="preserve"> of 2020/21. After an initial dip at the beginning of 2020/21, </w:t>
      </w:r>
      <w:r w:rsidR="21340E69" w:rsidRPr="2E32ED18">
        <w:rPr>
          <w:rFonts w:ascii="Tahoma" w:hAnsi="Tahoma" w:cs="Tahoma"/>
          <w:sz w:val="24"/>
          <w:szCs w:val="24"/>
        </w:rPr>
        <w:t xml:space="preserve">the proportion of </w:t>
      </w:r>
      <w:r w:rsidR="00BA6E5D" w:rsidRPr="2E32ED18">
        <w:rPr>
          <w:rFonts w:ascii="Tahoma" w:hAnsi="Tahoma" w:cs="Tahoma"/>
          <w:sz w:val="24"/>
          <w:szCs w:val="24"/>
        </w:rPr>
        <w:t>advice about repairs and maintenance rose</w:t>
      </w:r>
      <w:r w:rsidR="00524335" w:rsidRPr="2E32ED18">
        <w:rPr>
          <w:rFonts w:ascii="Tahoma" w:hAnsi="Tahoma" w:cs="Tahoma"/>
          <w:sz w:val="24"/>
          <w:szCs w:val="24"/>
        </w:rPr>
        <w:t xml:space="preserve"> steadily</w:t>
      </w:r>
      <w:r w:rsidR="00BA6E5D" w:rsidRPr="2E32ED18">
        <w:rPr>
          <w:rFonts w:ascii="Tahoma" w:hAnsi="Tahoma" w:cs="Tahoma"/>
          <w:sz w:val="24"/>
          <w:szCs w:val="24"/>
        </w:rPr>
        <w:t xml:space="preserve"> during </w:t>
      </w:r>
      <w:r w:rsidR="001552B5" w:rsidRPr="2E32ED18">
        <w:rPr>
          <w:rFonts w:ascii="Tahoma" w:hAnsi="Tahoma" w:cs="Tahoma"/>
          <w:sz w:val="24"/>
          <w:szCs w:val="24"/>
        </w:rPr>
        <w:t>2020/21</w:t>
      </w:r>
      <w:r w:rsidR="00E21BF0" w:rsidRPr="2E32ED18">
        <w:rPr>
          <w:rFonts w:ascii="Tahoma" w:hAnsi="Tahoma" w:cs="Tahoma"/>
          <w:sz w:val="24"/>
          <w:szCs w:val="24"/>
        </w:rPr>
        <w:t xml:space="preserve"> and peaked in Q4 of 2020/21 at 18% of all PRS advice, compared to 14% in the same period the year before.</w:t>
      </w:r>
    </w:p>
    <w:p w14:paraId="15A599A0" w14:textId="3354808D" w:rsidR="00440234" w:rsidRDefault="00E21BF0">
      <w:pPr>
        <w:rPr>
          <w:rFonts w:ascii="Tahoma" w:hAnsi="Tahoma" w:cs="Tahoma"/>
          <w:sz w:val="24"/>
          <w:szCs w:val="24"/>
        </w:rPr>
      </w:pPr>
      <w:r w:rsidRPr="2E32ED18">
        <w:rPr>
          <w:rFonts w:ascii="Tahoma" w:hAnsi="Tahoma" w:cs="Tahoma"/>
          <w:sz w:val="24"/>
          <w:szCs w:val="24"/>
        </w:rPr>
        <w:t>We can also observe</w:t>
      </w:r>
      <w:r w:rsidR="004766B2" w:rsidRPr="2E32ED18">
        <w:rPr>
          <w:rFonts w:ascii="Tahoma" w:hAnsi="Tahoma" w:cs="Tahoma"/>
          <w:sz w:val="24"/>
          <w:szCs w:val="24"/>
        </w:rPr>
        <w:t xml:space="preserve"> a </w:t>
      </w:r>
      <w:r w:rsidR="00342FC1" w:rsidRPr="2E32ED18">
        <w:rPr>
          <w:rFonts w:ascii="Tahoma" w:hAnsi="Tahoma" w:cs="Tahoma"/>
          <w:sz w:val="24"/>
          <w:szCs w:val="24"/>
        </w:rPr>
        <w:t xml:space="preserve">particular drop in the </w:t>
      </w:r>
      <w:r w:rsidR="0C9796D2" w:rsidRPr="2E32ED18">
        <w:rPr>
          <w:rFonts w:ascii="Tahoma" w:hAnsi="Tahoma" w:cs="Tahoma"/>
          <w:sz w:val="24"/>
          <w:szCs w:val="24"/>
        </w:rPr>
        <w:t>proportion</w:t>
      </w:r>
      <w:r w:rsidR="00342FC1" w:rsidRPr="2E32ED18">
        <w:rPr>
          <w:rFonts w:ascii="Tahoma" w:hAnsi="Tahoma" w:cs="Tahoma"/>
          <w:sz w:val="24"/>
          <w:szCs w:val="24"/>
        </w:rPr>
        <w:t xml:space="preserve"> of advice given about deposits</w:t>
      </w:r>
      <w:r w:rsidR="00BB0E2E" w:rsidRPr="2E32ED18">
        <w:rPr>
          <w:rFonts w:ascii="Tahoma" w:hAnsi="Tahoma" w:cs="Tahoma"/>
          <w:sz w:val="24"/>
          <w:szCs w:val="24"/>
        </w:rPr>
        <w:t>, from 15% in Q1 of 2019</w:t>
      </w:r>
      <w:r w:rsidR="005644F5" w:rsidRPr="2E32ED18">
        <w:rPr>
          <w:rFonts w:ascii="Tahoma" w:hAnsi="Tahoma" w:cs="Tahoma"/>
          <w:sz w:val="24"/>
          <w:szCs w:val="24"/>
        </w:rPr>
        <w:t>/20 down to 11% in the same quarter in 2020/21</w:t>
      </w:r>
      <w:r w:rsidR="00CB1689" w:rsidRPr="2E32ED18">
        <w:rPr>
          <w:rFonts w:ascii="Tahoma" w:hAnsi="Tahoma" w:cs="Tahoma"/>
          <w:sz w:val="24"/>
          <w:szCs w:val="24"/>
        </w:rPr>
        <w:t>, which may</w:t>
      </w:r>
      <w:r w:rsidR="005F1565">
        <w:rPr>
          <w:rFonts w:ascii="Tahoma" w:hAnsi="Tahoma" w:cs="Tahoma"/>
          <w:sz w:val="24"/>
          <w:szCs w:val="24"/>
        </w:rPr>
        <w:t xml:space="preserve"> be due to</w:t>
      </w:r>
      <w:r w:rsidR="00CB1689" w:rsidRPr="2E32ED18">
        <w:rPr>
          <w:rFonts w:ascii="Tahoma" w:hAnsi="Tahoma" w:cs="Tahoma"/>
          <w:sz w:val="24"/>
          <w:szCs w:val="24"/>
        </w:rPr>
        <w:t xml:space="preserve"> a </w:t>
      </w:r>
      <w:r w:rsidR="00577332" w:rsidRPr="2E32ED18">
        <w:rPr>
          <w:rFonts w:ascii="Tahoma" w:hAnsi="Tahoma" w:cs="Tahoma"/>
          <w:sz w:val="24"/>
          <w:szCs w:val="24"/>
        </w:rPr>
        <w:t>downturn in</w:t>
      </w:r>
      <w:r w:rsidR="00CB1689" w:rsidRPr="2E32ED18">
        <w:rPr>
          <w:rFonts w:ascii="Tahoma" w:hAnsi="Tahoma" w:cs="Tahoma"/>
          <w:sz w:val="24"/>
          <w:szCs w:val="24"/>
        </w:rPr>
        <w:t xml:space="preserve"> tenants moving</w:t>
      </w:r>
      <w:r w:rsidR="00577332" w:rsidRPr="2E32ED18">
        <w:rPr>
          <w:rFonts w:ascii="Tahoma" w:hAnsi="Tahoma" w:cs="Tahoma"/>
          <w:sz w:val="24"/>
          <w:szCs w:val="24"/>
        </w:rPr>
        <w:t xml:space="preserve"> home</w:t>
      </w:r>
      <w:r w:rsidR="00321D9D">
        <w:rPr>
          <w:rFonts w:ascii="Tahoma" w:hAnsi="Tahoma" w:cs="Tahoma"/>
          <w:sz w:val="24"/>
          <w:szCs w:val="24"/>
        </w:rPr>
        <w:t xml:space="preserve"> due to COVID restrictions</w:t>
      </w:r>
      <w:r w:rsidR="00577332" w:rsidRPr="2E32ED18">
        <w:rPr>
          <w:rFonts w:ascii="Tahoma" w:hAnsi="Tahoma" w:cs="Tahoma"/>
          <w:sz w:val="24"/>
          <w:szCs w:val="24"/>
        </w:rPr>
        <w:t>.</w:t>
      </w:r>
      <w:r w:rsidR="005644F5" w:rsidRPr="2E32ED18">
        <w:rPr>
          <w:rFonts w:ascii="Tahoma" w:hAnsi="Tahoma" w:cs="Tahoma"/>
          <w:sz w:val="24"/>
          <w:szCs w:val="24"/>
        </w:rPr>
        <w:t xml:space="preserve"> </w:t>
      </w:r>
      <w:r w:rsidR="00083A33" w:rsidRPr="2E32ED18">
        <w:rPr>
          <w:rFonts w:ascii="Tahoma" w:hAnsi="Tahoma" w:cs="Tahoma"/>
          <w:sz w:val="24"/>
          <w:szCs w:val="24"/>
        </w:rPr>
        <w:t xml:space="preserve">Similarly, </w:t>
      </w:r>
      <w:r w:rsidR="7B3DF361" w:rsidRPr="2E32ED18">
        <w:rPr>
          <w:rFonts w:ascii="Tahoma" w:hAnsi="Tahoma" w:cs="Tahoma"/>
          <w:sz w:val="24"/>
          <w:szCs w:val="24"/>
        </w:rPr>
        <w:t xml:space="preserve">the proportion of </w:t>
      </w:r>
      <w:r w:rsidR="00083A33" w:rsidRPr="2E32ED18">
        <w:rPr>
          <w:rFonts w:ascii="Tahoma" w:hAnsi="Tahoma" w:cs="Tahoma"/>
          <w:sz w:val="24"/>
          <w:szCs w:val="24"/>
        </w:rPr>
        <w:t xml:space="preserve">advice about tenancy termination dropped slightly, and </w:t>
      </w:r>
      <w:r w:rsidR="00FC6610" w:rsidRPr="2E32ED18">
        <w:rPr>
          <w:rFonts w:ascii="Tahoma" w:hAnsi="Tahoma" w:cs="Tahoma"/>
          <w:sz w:val="24"/>
          <w:szCs w:val="24"/>
        </w:rPr>
        <w:t>this may be for the same reason.</w:t>
      </w:r>
    </w:p>
    <w:p w14:paraId="0D035616" w14:textId="6CABAAED" w:rsidR="00440234" w:rsidRDefault="00440234" w:rsidP="00440234">
      <w:pPr>
        <w:rPr>
          <w:rFonts w:ascii="Tahoma" w:hAnsi="Tahoma" w:cs="Tahoma"/>
          <w:sz w:val="24"/>
          <w:szCs w:val="24"/>
        </w:rPr>
      </w:pPr>
      <w:r w:rsidRPr="2E32ED18">
        <w:rPr>
          <w:rFonts w:ascii="Tahoma" w:hAnsi="Tahoma" w:cs="Tahoma"/>
          <w:sz w:val="24"/>
          <w:szCs w:val="24"/>
        </w:rPr>
        <w:t xml:space="preserve">Advice about private rented sector issues saw some of the most notable changes in 2020/21 compared to the previous year. </w:t>
      </w:r>
      <w:r w:rsidR="00EA5752">
        <w:rPr>
          <w:rFonts w:ascii="Tahoma" w:hAnsi="Tahoma" w:cs="Tahoma"/>
          <w:sz w:val="24"/>
          <w:szCs w:val="24"/>
        </w:rPr>
        <w:t xml:space="preserve">Concerns </w:t>
      </w:r>
      <w:r w:rsidRPr="2E32ED18">
        <w:rPr>
          <w:rFonts w:ascii="Tahoma" w:hAnsi="Tahoma" w:cs="Tahoma"/>
          <w:sz w:val="24"/>
          <w:szCs w:val="24"/>
        </w:rPr>
        <w:t>around addressing longstanding issues such as repair and maintenance issues, and concerns about paying rent appear to bear out in the statistics. The uptick in repair and maintenance issues may also be attributed to restrictions on tradespeople being able to enter homes to carry out works and frustrations around resulting delays. However, people have the right to live in safe homes which are up to standard and landlords should be making every effort to ensure repairs are carried out as soon as possible, while ensuring tenants feel safe and comfortable about any works and are kept informed.</w:t>
      </w:r>
    </w:p>
    <w:p w14:paraId="540A3DFE" w14:textId="77777777" w:rsidR="00440234" w:rsidRDefault="00440234" w:rsidP="00440234">
      <w:pPr>
        <w:rPr>
          <w:rFonts w:ascii="Tahoma" w:hAnsi="Tahoma" w:cs="Tahoma"/>
          <w:sz w:val="24"/>
          <w:szCs w:val="24"/>
        </w:rPr>
      </w:pPr>
      <w:r>
        <w:rPr>
          <w:rFonts w:ascii="Tahoma" w:hAnsi="Tahoma" w:cs="Tahoma"/>
          <w:sz w:val="24"/>
          <w:szCs w:val="24"/>
        </w:rPr>
        <w:lastRenderedPageBreak/>
        <w:t xml:space="preserve">The downturn in advice about deposits may indicate that government efforts to keep people safely at home has worked to a degree as it may indicate fewer people moving between properties and needing advice about either putting down a new deposit or retrieving it when a tenancy ends. </w:t>
      </w:r>
    </w:p>
    <w:p w14:paraId="27F9155D" w14:textId="77777777" w:rsidR="00440234" w:rsidRPr="00BF48B0" w:rsidRDefault="00440234" w:rsidP="00440234">
      <w:pPr>
        <w:rPr>
          <w:rFonts w:ascii="Tahoma" w:hAnsi="Tahoma" w:cs="Tahoma"/>
          <w:sz w:val="24"/>
          <w:szCs w:val="24"/>
        </w:rPr>
      </w:pPr>
      <w:r w:rsidRPr="00FA68DC">
        <w:rPr>
          <w:rFonts w:ascii="Tahoma" w:hAnsi="Tahoma" w:cs="Tahoma"/>
          <w:b/>
          <w:sz w:val="24"/>
          <w:szCs w:val="24"/>
        </w:rPr>
        <w:t>Citizens Alert</w:t>
      </w:r>
      <w:r>
        <w:rPr>
          <w:rFonts w:ascii="Tahoma" w:hAnsi="Tahoma" w:cs="Tahoma"/>
          <w:b/>
          <w:sz w:val="24"/>
          <w:szCs w:val="24"/>
        </w:rPr>
        <w:t xml:space="preserve">: </w:t>
      </w:r>
      <w:r>
        <w:rPr>
          <w:rFonts w:ascii="Tahoma" w:hAnsi="Tahoma" w:cs="Tahoma"/>
          <w:sz w:val="24"/>
          <w:szCs w:val="24"/>
        </w:rPr>
        <w:t xml:space="preserve">An East of Scotland CAB reports of a client who has been waiting over 12 months for his landlord to complete necessary repairs to his boiler and heating system. This is having a severe impact on the client’s mental health. </w:t>
      </w:r>
    </w:p>
    <w:p w14:paraId="19B54D54" w14:textId="77777777" w:rsidR="00440234" w:rsidRDefault="00440234" w:rsidP="00440234"/>
    <w:p w14:paraId="5B64605D" w14:textId="77777777" w:rsidR="00440234" w:rsidRDefault="00440234" w:rsidP="00440234">
      <w:pPr>
        <w:rPr>
          <w:rFonts w:ascii="Tahoma" w:hAnsi="Tahoma" w:cs="Tahoma"/>
          <w:sz w:val="24"/>
          <w:szCs w:val="24"/>
        </w:rPr>
      </w:pPr>
      <w:r w:rsidRPr="00615E9B">
        <w:rPr>
          <w:rFonts w:ascii="Tahoma" w:hAnsi="Tahoma" w:cs="Tahoma"/>
          <w:b/>
          <w:color w:val="4472C4" w:themeColor="accent1"/>
          <w:sz w:val="24"/>
          <w:szCs w:val="24"/>
        </w:rPr>
        <w:t xml:space="preserve">CAS recommends: </w:t>
      </w:r>
    </w:p>
    <w:p w14:paraId="34D1A940" w14:textId="77777777" w:rsidR="00440234" w:rsidRPr="00EE1E52" w:rsidRDefault="00440234" w:rsidP="00440234">
      <w:pPr>
        <w:rPr>
          <w:rFonts w:ascii="Tahoma" w:hAnsi="Tahoma" w:cs="Tahoma"/>
          <w:b/>
          <w:sz w:val="24"/>
          <w:szCs w:val="24"/>
        </w:rPr>
      </w:pPr>
      <w:r w:rsidRPr="00EE1E52">
        <w:rPr>
          <w:rFonts w:ascii="Tahoma" w:hAnsi="Tahoma" w:cs="Tahoma"/>
          <w:sz w:val="24"/>
          <w:szCs w:val="24"/>
        </w:rPr>
        <w:t>Landlords and tenants should work together to quickly resolve outstanding maintenance issues now that most restrictions on works in homes have eased (unless the tenant is uncomfortable with this for health reasons</w:t>
      </w:r>
      <w:r>
        <w:rPr>
          <w:rFonts w:ascii="Tahoma" w:hAnsi="Tahoma" w:cs="Tahoma"/>
          <w:sz w:val="24"/>
          <w:szCs w:val="24"/>
        </w:rPr>
        <w:t>).</w:t>
      </w:r>
    </w:p>
    <w:p w14:paraId="6A56D171" w14:textId="4026CD3B" w:rsidR="00440234" w:rsidRPr="00EE1E52" w:rsidRDefault="00440234" w:rsidP="00440234">
      <w:pPr>
        <w:rPr>
          <w:rFonts w:ascii="Tahoma" w:hAnsi="Tahoma" w:cs="Tahoma"/>
          <w:bCs/>
          <w:sz w:val="24"/>
          <w:szCs w:val="24"/>
        </w:rPr>
      </w:pPr>
      <w:r w:rsidRPr="00EE1E52">
        <w:rPr>
          <w:rFonts w:ascii="Tahoma" w:hAnsi="Tahoma" w:cs="Tahoma"/>
          <w:bCs/>
          <w:sz w:val="24"/>
          <w:szCs w:val="24"/>
        </w:rPr>
        <w:t>Longer term, the Scottish Government should commit resources to awareness-raising, independent advice and improving the process of going through the First Tier Tribunal Housing and Property Chamber to help tenants and landlords understand and act on their rights and responsibilities.</w:t>
      </w:r>
      <w:r w:rsidRPr="00EE1E52">
        <w:rPr>
          <w:rFonts w:ascii="Tahoma" w:hAnsi="Tahoma" w:cs="Tahoma"/>
          <w:bCs/>
          <w:sz w:val="24"/>
          <w:szCs w:val="24"/>
        </w:rPr>
        <w:annotationRef/>
      </w:r>
    </w:p>
    <w:p w14:paraId="70E961FA" w14:textId="362003B0" w:rsidR="00BE7BC1" w:rsidRDefault="00BE7BC1">
      <w:pPr>
        <w:rPr>
          <w:rFonts w:ascii="Tahoma" w:hAnsi="Tahoma" w:cs="Tahoma"/>
          <w:sz w:val="24"/>
          <w:szCs w:val="24"/>
        </w:rPr>
      </w:pPr>
    </w:p>
    <w:p w14:paraId="053A4923" w14:textId="28148128" w:rsidR="00EE0D55" w:rsidRDefault="00EE0D55">
      <w:pPr>
        <w:rPr>
          <w:rFonts w:ascii="Tahoma" w:hAnsi="Tahoma" w:cs="Tahoma"/>
          <w:sz w:val="24"/>
          <w:szCs w:val="24"/>
        </w:rPr>
      </w:pPr>
    </w:p>
    <w:p w14:paraId="35ABB346" w14:textId="170952CF" w:rsidR="00EE0D55" w:rsidRDefault="00EE0D55">
      <w:pPr>
        <w:rPr>
          <w:rFonts w:ascii="Tahoma" w:hAnsi="Tahoma" w:cs="Tahoma"/>
          <w:sz w:val="24"/>
          <w:szCs w:val="24"/>
        </w:rPr>
      </w:pPr>
    </w:p>
    <w:p w14:paraId="5BBA8286" w14:textId="1D2E38C8" w:rsidR="00EE0D55" w:rsidRDefault="00EE0D55">
      <w:pPr>
        <w:rPr>
          <w:rFonts w:ascii="Tahoma" w:hAnsi="Tahoma" w:cs="Tahoma"/>
          <w:sz w:val="24"/>
          <w:szCs w:val="24"/>
        </w:rPr>
      </w:pPr>
    </w:p>
    <w:p w14:paraId="11450BED" w14:textId="20E75093" w:rsidR="00EE0D55" w:rsidRDefault="00EE0D55">
      <w:pPr>
        <w:rPr>
          <w:rFonts w:ascii="Tahoma" w:hAnsi="Tahoma" w:cs="Tahoma"/>
          <w:sz w:val="24"/>
          <w:szCs w:val="24"/>
        </w:rPr>
      </w:pPr>
    </w:p>
    <w:p w14:paraId="650AEA32" w14:textId="6EC77559" w:rsidR="00EE0D55" w:rsidRDefault="00EE0D55">
      <w:pPr>
        <w:rPr>
          <w:rFonts w:ascii="Tahoma" w:hAnsi="Tahoma" w:cs="Tahoma"/>
          <w:sz w:val="24"/>
          <w:szCs w:val="24"/>
        </w:rPr>
      </w:pPr>
    </w:p>
    <w:p w14:paraId="74EDDAD4" w14:textId="63F0EED3" w:rsidR="00EE0D55" w:rsidRDefault="00EE0D55">
      <w:pPr>
        <w:rPr>
          <w:rFonts w:ascii="Tahoma" w:hAnsi="Tahoma" w:cs="Tahoma"/>
          <w:sz w:val="24"/>
          <w:szCs w:val="24"/>
        </w:rPr>
      </w:pPr>
    </w:p>
    <w:p w14:paraId="0EF079EC" w14:textId="2701BC43" w:rsidR="00980DC2" w:rsidRDefault="00980DC2"/>
    <w:p w14:paraId="08A01FB3" w14:textId="01ECC2D7" w:rsidR="00801993" w:rsidRDefault="00801993"/>
    <w:p w14:paraId="72FB570B" w14:textId="2F472FE5" w:rsidR="00801993" w:rsidRDefault="00801993"/>
    <w:p w14:paraId="59052826" w14:textId="35E23058" w:rsidR="00801993" w:rsidRDefault="00801993"/>
    <w:p w14:paraId="41656115" w14:textId="694A368C" w:rsidR="00801993" w:rsidRDefault="00801993"/>
    <w:p w14:paraId="5F1B837B" w14:textId="3D8FF1BB" w:rsidR="00801993" w:rsidRDefault="00801993"/>
    <w:p w14:paraId="563969ED" w14:textId="73A17E83" w:rsidR="00801993" w:rsidRDefault="00801993"/>
    <w:p w14:paraId="157F6A7E" w14:textId="542523D6" w:rsidR="00801993" w:rsidRDefault="00801993"/>
    <w:p w14:paraId="2FDCAE32" w14:textId="40138BC1" w:rsidR="00801993" w:rsidRDefault="00801993"/>
    <w:p w14:paraId="48E551EA" w14:textId="77777777" w:rsidR="00801993" w:rsidRDefault="00801993"/>
    <w:p w14:paraId="49DEFED8" w14:textId="01E71A2B" w:rsidR="009815CF" w:rsidRPr="009815CF" w:rsidRDefault="00980DC2" w:rsidP="009815CF">
      <w:pPr>
        <w:rPr>
          <w:rFonts w:ascii="Tahoma" w:hAnsi="Tahoma" w:cs="Tahoma"/>
          <w:b/>
          <w:sz w:val="24"/>
          <w:szCs w:val="24"/>
        </w:rPr>
      </w:pPr>
      <w:r w:rsidRPr="00CD3AE7">
        <w:rPr>
          <w:rFonts w:ascii="Tahoma" w:hAnsi="Tahoma" w:cs="Tahoma"/>
          <w:b/>
          <w:sz w:val="24"/>
          <w:szCs w:val="24"/>
        </w:rPr>
        <w:lastRenderedPageBreak/>
        <w:t>E</w:t>
      </w:r>
      <w:r w:rsidR="00A629CC" w:rsidRPr="00CD3AE7">
        <w:rPr>
          <w:rFonts w:ascii="Tahoma" w:hAnsi="Tahoma" w:cs="Tahoma"/>
          <w:b/>
          <w:sz w:val="24"/>
          <w:szCs w:val="24"/>
        </w:rPr>
        <w:t>nvironmental and neighbour advice</w:t>
      </w:r>
    </w:p>
    <w:p w14:paraId="35B0AB04" w14:textId="3884BA73" w:rsidR="05464BF3" w:rsidRDefault="05464BF3" w:rsidP="05464BF3">
      <w:pPr>
        <w:rPr>
          <w:rFonts w:ascii="Tahoma" w:hAnsi="Tahoma" w:cs="Tahoma"/>
          <w:b/>
          <w:bCs/>
          <w:sz w:val="24"/>
          <w:szCs w:val="24"/>
        </w:rPr>
      </w:pPr>
    </w:p>
    <w:p w14:paraId="03E4ACFD" w14:textId="2210A4CF" w:rsidR="7E4CAC0D" w:rsidRDefault="7E4CAC0D" w:rsidP="05464BF3">
      <w:pPr>
        <w:rPr>
          <w:rFonts w:ascii="Tahoma" w:hAnsi="Tahoma" w:cs="Tahoma"/>
          <w:b/>
          <w:bCs/>
          <w:sz w:val="24"/>
          <w:szCs w:val="24"/>
        </w:rPr>
      </w:pPr>
      <w:r w:rsidRPr="05464BF3">
        <w:rPr>
          <w:rFonts w:ascii="Tahoma" w:hAnsi="Tahoma" w:cs="Tahoma"/>
          <w:sz w:val="24"/>
          <w:szCs w:val="24"/>
        </w:rPr>
        <w:t>Chart 4. Top environmental and neighbour advice areas as a proportion of all environmental and neighbour advice</w:t>
      </w:r>
    </w:p>
    <w:p w14:paraId="19E388CA" w14:textId="15E880DB" w:rsidR="00274CF1" w:rsidRDefault="00274CF1">
      <w:pPr>
        <w:rPr>
          <w:rFonts w:ascii="Tahoma" w:hAnsi="Tahoma" w:cs="Tahoma"/>
          <w:b/>
          <w:sz w:val="24"/>
          <w:szCs w:val="24"/>
        </w:rPr>
      </w:pPr>
      <w:r>
        <w:rPr>
          <w:noProof/>
        </w:rPr>
        <w:drawing>
          <wp:inline distT="0" distB="0" distL="0" distR="0" wp14:anchorId="13A41E5D" wp14:editId="1CF949CD">
            <wp:extent cx="5400675" cy="2552700"/>
            <wp:effectExtent l="0" t="0" r="0" b="0"/>
            <wp:docPr id="13" name="Chart 13">
              <a:extLst xmlns:a="http://schemas.openxmlformats.org/drawingml/2006/main">
                <a:ext uri="{FF2B5EF4-FFF2-40B4-BE49-F238E27FC236}">
                  <a16:creationId xmlns:a16="http://schemas.microsoft.com/office/drawing/2014/main" id="{97212268-09A3-4C2E-8912-58E30FB7D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2A1868" w14:textId="630F3292" w:rsidR="00980DC2" w:rsidRPr="00F570BC" w:rsidRDefault="001D4AC5">
      <w:pPr>
        <w:rPr>
          <w:rFonts w:ascii="Tahoma" w:hAnsi="Tahoma" w:cs="Tahoma"/>
          <w:sz w:val="24"/>
          <w:szCs w:val="24"/>
        </w:rPr>
      </w:pPr>
      <w:r w:rsidRPr="2E32ED18">
        <w:rPr>
          <w:rFonts w:ascii="Tahoma" w:hAnsi="Tahoma" w:cs="Tahoma"/>
          <w:sz w:val="24"/>
          <w:szCs w:val="24"/>
        </w:rPr>
        <w:t xml:space="preserve">In </w:t>
      </w:r>
      <w:r w:rsidR="008040F0" w:rsidRPr="2E32ED18">
        <w:rPr>
          <w:rFonts w:ascii="Tahoma" w:hAnsi="Tahoma" w:cs="Tahoma"/>
          <w:sz w:val="24"/>
          <w:szCs w:val="24"/>
        </w:rPr>
        <w:t>contrast to level 2 environmental and neighbour advice codes, these level 3 advice codes do litt</w:t>
      </w:r>
      <w:r w:rsidR="00985916" w:rsidRPr="2E32ED18">
        <w:rPr>
          <w:rFonts w:ascii="Tahoma" w:hAnsi="Tahoma" w:cs="Tahoma"/>
          <w:sz w:val="24"/>
          <w:szCs w:val="24"/>
        </w:rPr>
        <w:t xml:space="preserve">le to </w:t>
      </w:r>
      <w:r w:rsidR="00665058" w:rsidRPr="2E32ED18">
        <w:rPr>
          <w:rFonts w:ascii="Tahoma" w:hAnsi="Tahoma" w:cs="Tahoma"/>
          <w:sz w:val="24"/>
          <w:szCs w:val="24"/>
        </w:rPr>
        <w:t xml:space="preserve">explain the drivers behind the level 2 </w:t>
      </w:r>
      <w:r w:rsidR="0042100A" w:rsidRPr="2E32ED18">
        <w:rPr>
          <w:rFonts w:ascii="Tahoma" w:hAnsi="Tahoma" w:cs="Tahoma"/>
          <w:sz w:val="24"/>
          <w:szCs w:val="24"/>
        </w:rPr>
        <w:t xml:space="preserve">increase. </w:t>
      </w:r>
      <w:r w:rsidR="44D5E59F" w:rsidRPr="2E32ED18">
        <w:rPr>
          <w:rFonts w:ascii="Tahoma" w:hAnsi="Tahoma" w:cs="Tahoma"/>
          <w:sz w:val="24"/>
          <w:szCs w:val="24"/>
        </w:rPr>
        <w:t>The proportion of a</w:t>
      </w:r>
      <w:r w:rsidR="00C45414" w:rsidRPr="2E32ED18">
        <w:rPr>
          <w:rFonts w:ascii="Tahoma" w:hAnsi="Tahoma" w:cs="Tahoma"/>
          <w:sz w:val="24"/>
          <w:szCs w:val="24"/>
        </w:rPr>
        <w:t xml:space="preserve">dvice on </w:t>
      </w:r>
      <w:r w:rsidR="5547D84E" w:rsidRPr="2E32ED18">
        <w:rPr>
          <w:rFonts w:ascii="Tahoma" w:hAnsi="Tahoma" w:cs="Tahoma"/>
          <w:sz w:val="24"/>
          <w:szCs w:val="24"/>
        </w:rPr>
        <w:t xml:space="preserve">general </w:t>
      </w:r>
      <w:r w:rsidR="00C45414" w:rsidRPr="2E32ED18">
        <w:rPr>
          <w:rFonts w:ascii="Tahoma" w:hAnsi="Tahoma" w:cs="Tahoma"/>
          <w:sz w:val="24"/>
          <w:szCs w:val="24"/>
        </w:rPr>
        <w:t>neighbour issues ha</w:t>
      </w:r>
      <w:r w:rsidR="389A0E73" w:rsidRPr="2E32ED18">
        <w:rPr>
          <w:rFonts w:ascii="Tahoma" w:hAnsi="Tahoma" w:cs="Tahoma"/>
          <w:sz w:val="24"/>
          <w:szCs w:val="24"/>
        </w:rPr>
        <w:t>s</w:t>
      </w:r>
      <w:r w:rsidR="00C45414" w:rsidRPr="2E32ED18">
        <w:rPr>
          <w:rFonts w:ascii="Tahoma" w:hAnsi="Tahoma" w:cs="Tahoma"/>
          <w:sz w:val="24"/>
          <w:szCs w:val="24"/>
        </w:rPr>
        <w:t xml:space="preserve"> stayed mainly the </w:t>
      </w:r>
      <w:r w:rsidR="007A0BF3" w:rsidRPr="2E32ED18">
        <w:rPr>
          <w:rFonts w:ascii="Tahoma" w:hAnsi="Tahoma" w:cs="Tahoma"/>
          <w:sz w:val="24"/>
          <w:szCs w:val="24"/>
        </w:rPr>
        <w:t xml:space="preserve">same </w:t>
      </w:r>
      <w:r w:rsidR="005A2134" w:rsidRPr="2E32ED18">
        <w:rPr>
          <w:rFonts w:ascii="Tahoma" w:hAnsi="Tahoma" w:cs="Tahoma"/>
          <w:sz w:val="24"/>
          <w:szCs w:val="24"/>
        </w:rPr>
        <w:t>ac</w:t>
      </w:r>
      <w:r w:rsidR="002A4331" w:rsidRPr="2E32ED18">
        <w:rPr>
          <w:rFonts w:ascii="Tahoma" w:hAnsi="Tahoma" w:cs="Tahoma"/>
          <w:sz w:val="24"/>
          <w:szCs w:val="24"/>
        </w:rPr>
        <w:t>ross the two years</w:t>
      </w:r>
      <w:r w:rsidR="00506DE4" w:rsidRPr="2E32ED18">
        <w:rPr>
          <w:rFonts w:ascii="Tahoma" w:hAnsi="Tahoma" w:cs="Tahoma"/>
          <w:sz w:val="24"/>
          <w:szCs w:val="24"/>
        </w:rPr>
        <w:t xml:space="preserve">, whereas </w:t>
      </w:r>
      <w:r w:rsidR="759FBA11" w:rsidRPr="2E32ED18">
        <w:rPr>
          <w:rFonts w:ascii="Tahoma" w:hAnsi="Tahoma" w:cs="Tahoma"/>
          <w:sz w:val="24"/>
          <w:szCs w:val="24"/>
        </w:rPr>
        <w:t xml:space="preserve">the proportion of </w:t>
      </w:r>
      <w:r w:rsidR="00506DE4" w:rsidRPr="2E32ED18">
        <w:rPr>
          <w:rFonts w:ascii="Tahoma" w:hAnsi="Tahoma" w:cs="Tahoma"/>
          <w:sz w:val="24"/>
          <w:szCs w:val="24"/>
        </w:rPr>
        <w:t xml:space="preserve">advice on anti-social behaviour has </w:t>
      </w:r>
      <w:r w:rsidR="00D24336" w:rsidRPr="2E32ED18">
        <w:rPr>
          <w:rFonts w:ascii="Tahoma" w:hAnsi="Tahoma" w:cs="Tahoma"/>
          <w:sz w:val="24"/>
          <w:szCs w:val="24"/>
        </w:rPr>
        <w:t>seen a growth of 3 percentage points between Q1 in 2019/20 and Q1 the following year</w:t>
      </w:r>
      <w:r w:rsidR="00BC2E08" w:rsidRPr="2E32ED18">
        <w:rPr>
          <w:rFonts w:ascii="Tahoma" w:hAnsi="Tahoma" w:cs="Tahoma"/>
          <w:sz w:val="24"/>
          <w:szCs w:val="24"/>
        </w:rPr>
        <w:t>, and</w:t>
      </w:r>
      <w:r w:rsidR="00DB0AC7" w:rsidRPr="2E32ED18">
        <w:rPr>
          <w:rFonts w:ascii="Tahoma" w:hAnsi="Tahoma" w:cs="Tahoma"/>
          <w:sz w:val="24"/>
          <w:szCs w:val="24"/>
        </w:rPr>
        <w:t xml:space="preserve"> remains slightly abo</w:t>
      </w:r>
      <w:r w:rsidR="00BC2E08" w:rsidRPr="2E32ED18">
        <w:rPr>
          <w:rFonts w:ascii="Tahoma" w:hAnsi="Tahoma" w:cs="Tahoma"/>
          <w:sz w:val="24"/>
          <w:szCs w:val="24"/>
        </w:rPr>
        <w:t>ve</w:t>
      </w:r>
      <w:r w:rsidR="00DB0AC7" w:rsidRPr="2E32ED18">
        <w:rPr>
          <w:rFonts w:ascii="Tahoma" w:hAnsi="Tahoma" w:cs="Tahoma"/>
          <w:sz w:val="24"/>
          <w:szCs w:val="24"/>
        </w:rPr>
        <w:t xml:space="preserve"> pre-pandemic levels.</w:t>
      </w:r>
      <w:r w:rsidR="000A78DA" w:rsidRPr="2E32ED18">
        <w:rPr>
          <w:rFonts w:ascii="Tahoma" w:hAnsi="Tahoma" w:cs="Tahoma"/>
          <w:sz w:val="24"/>
          <w:szCs w:val="24"/>
        </w:rPr>
        <w:t xml:space="preserve"> Both environmental and planning issues advice dropped during 2020/21 compared to the previous year</w:t>
      </w:r>
      <w:r w:rsidR="24285838" w:rsidRPr="2E32ED18">
        <w:rPr>
          <w:rFonts w:ascii="Tahoma" w:hAnsi="Tahoma" w:cs="Tahoma"/>
          <w:sz w:val="24"/>
          <w:szCs w:val="24"/>
        </w:rPr>
        <w:t xml:space="preserve"> as a proportion of all environmental and neighbour advice</w:t>
      </w:r>
      <w:r w:rsidR="00516C0A" w:rsidRPr="2E32ED18">
        <w:rPr>
          <w:rFonts w:ascii="Tahoma" w:hAnsi="Tahoma" w:cs="Tahoma"/>
          <w:sz w:val="24"/>
          <w:szCs w:val="24"/>
        </w:rPr>
        <w:t>.</w:t>
      </w:r>
    </w:p>
    <w:p w14:paraId="0CE73860" w14:textId="77777777" w:rsidR="00EE0D55" w:rsidRDefault="00EE0D55" w:rsidP="00EE0D55">
      <w:pPr>
        <w:rPr>
          <w:rFonts w:ascii="Tahoma" w:hAnsi="Tahoma" w:cs="Tahoma"/>
          <w:sz w:val="24"/>
          <w:szCs w:val="24"/>
        </w:rPr>
      </w:pPr>
      <w:r w:rsidRPr="00634F33">
        <w:rPr>
          <w:rFonts w:ascii="Tahoma" w:hAnsi="Tahoma" w:cs="Tahoma"/>
          <w:sz w:val="24"/>
          <w:szCs w:val="24"/>
        </w:rPr>
        <w:t xml:space="preserve">While level 2 data in this area showed a sharp increase between 2019/20 and 2020/21, level 3 data does not give much insight into what type of environmental and neighbour advice is driving this growth. One would expect that more people spending a greater amount of time at home, especially in a communal setting such as a tenement building, would </w:t>
      </w:r>
      <w:r>
        <w:rPr>
          <w:rFonts w:ascii="Tahoma" w:hAnsi="Tahoma" w:cs="Tahoma"/>
          <w:sz w:val="24"/>
          <w:szCs w:val="24"/>
        </w:rPr>
        <w:t>lead to an increase</w:t>
      </w:r>
      <w:r w:rsidRPr="00634F33">
        <w:rPr>
          <w:rFonts w:ascii="Tahoma" w:hAnsi="Tahoma" w:cs="Tahoma"/>
          <w:sz w:val="24"/>
          <w:szCs w:val="24"/>
        </w:rPr>
        <w:t xml:space="preserve"> in neighbour complaints, but this doesn’t seem to have happened. However, we can observe a small growth in advice about antisocial behaviour, which may stem from annoyances about noise which </w:t>
      </w:r>
      <w:r>
        <w:rPr>
          <w:rFonts w:ascii="Tahoma" w:hAnsi="Tahoma" w:cs="Tahoma"/>
          <w:sz w:val="24"/>
          <w:szCs w:val="24"/>
        </w:rPr>
        <w:t>may</w:t>
      </w:r>
      <w:r w:rsidRPr="00634F33">
        <w:rPr>
          <w:rFonts w:ascii="Tahoma" w:hAnsi="Tahoma" w:cs="Tahoma"/>
          <w:sz w:val="24"/>
          <w:szCs w:val="24"/>
        </w:rPr>
        <w:t xml:space="preserve"> have gone unnoticed before.</w:t>
      </w:r>
      <w:r>
        <w:rPr>
          <w:rFonts w:ascii="Tahoma" w:hAnsi="Tahoma" w:cs="Tahoma"/>
          <w:sz w:val="24"/>
          <w:szCs w:val="24"/>
        </w:rPr>
        <w:t xml:space="preserve"> It is hard to predict what may happen in future as restrictions lift, however it would be interesting to see if the upward trend in antisocial behaviour advice continues. Because it is still possible to evict on the basis of antisocial behaviour, some of these queries may have come from landlords who are seeking to understand more about this in order to utilise it.</w:t>
      </w:r>
    </w:p>
    <w:p w14:paraId="1D6A7911" w14:textId="34B5C632" w:rsidR="00EE0D55" w:rsidRPr="00FA68DC" w:rsidRDefault="00EE0D55" w:rsidP="00EE0D55">
      <w:pPr>
        <w:rPr>
          <w:rFonts w:ascii="Tahoma" w:hAnsi="Tahoma" w:cs="Tahoma"/>
          <w:b/>
          <w:sz w:val="24"/>
          <w:szCs w:val="24"/>
        </w:rPr>
      </w:pPr>
      <w:r w:rsidRPr="00FA68DC">
        <w:rPr>
          <w:rFonts w:ascii="Tahoma" w:hAnsi="Tahoma" w:cs="Tahoma"/>
          <w:b/>
          <w:sz w:val="24"/>
          <w:szCs w:val="24"/>
        </w:rPr>
        <w:t>Citizens Alert</w:t>
      </w:r>
      <w:r>
        <w:rPr>
          <w:rFonts w:ascii="Tahoma" w:hAnsi="Tahoma" w:cs="Tahoma"/>
          <w:b/>
          <w:sz w:val="24"/>
          <w:szCs w:val="24"/>
        </w:rPr>
        <w:t xml:space="preserve">: </w:t>
      </w:r>
      <w:r w:rsidRPr="00F91845">
        <w:rPr>
          <w:rFonts w:ascii="Tahoma" w:hAnsi="Tahoma" w:cs="Tahoma"/>
          <w:sz w:val="24"/>
          <w:szCs w:val="24"/>
        </w:rPr>
        <w:t xml:space="preserve">An East of Scotland CAB reports of a client who has endured a campaign of harassment and anti-social behaviour from a neighbour, which has persisted for some time and appears to be escalating. It is having a significant effect on their wellbeing. </w:t>
      </w:r>
      <w:r w:rsidR="001E63F8">
        <w:rPr>
          <w:rFonts w:ascii="Tahoma" w:hAnsi="Tahoma" w:cs="Tahoma"/>
          <w:sz w:val="24"/>
          <w:szCs w:val="24"/>
        </w:rPr>
        <w:t>The c</w:t>
      </w:r>
      <w:r w:rsidRPr="00F91845">
        <w:rPr>
          <w:rFonts w:ascii="Tahoma" w:hAnsi="Tahoma" w:cs="Tahoma"/>
          <w:sz w:val="24"/>
          <w:szCs w:val="24"/>
        </w:rPr>
        <w:t xml:space="preserve">lient has asked their social landlord to take action against </w:t>
      </w:r>
      <w:r w:rsidR="001E63F8">
        <w:rPr>
          <w:rFonts w:ascii="Tahoma" w:hAnsi="Tahoma" w:cs="Tahoma"/>
          <w:sz w:val="24"/>
          <w:szCs w:val="24"/>
        </w:rPr>
        <w:lastRenderedPageBreak/>
        <w:t xml:space="preserve">the </w:t>
      </w:r>
      <w:r w:rsidR="001E63F8" w:rsidRPr="00F91845">
        <w:rPr>
          <w:rFonts w:ascii="Tahoma" w:hAnsi="Tahoma" w:cs="Tahoma"/>
          <w:sz w:val="24"/>
          <w:szCs w:val="24"/>
        </w:rPr>
        <w:t>neighbour,</w:t>
      </w:r>
      <w:r w:rsidRPr="00F91845">
        <w:rPr>
          <w:rFonts w:ascii="Tahoma" w:hAnsi="Tahoma" w:cs="Tahoma"/>
          <w:sz w:val="24"/>
          <w:szCs w:val="24"/>
        </w:rPr>
        <w:t xml:space="preserve"> but support is not forthcoming. They will not visit property during lockdown to establish facts. Client has asked to be rehoused, and they appear willing but have not been able to find suitable accommodation that meets the client's needs.</w:t>
      </w:r>
    </w:p>
    <w:p w14:paraId="18B351E0" w14:textId="77777777" w:rsidR="00EE0D55" w:rsidRDefault="00EE0D55" w:rsidP="00EE0D55">
      <w:pPr>
        <w:rPr>
          <w:rFonts w:ascii="Arial" w:hAnsi="Arial" w:cs="Arial"/>
          <w:color w:val="212121"/>
          <w:sz w:val="20"/>
          <w:szCs w:val="20"/>
          <w:shd w:val="clear" w:color="auto" w:fill="F5F5F5"/>
        </w:rPr>
      </w:pPr>
    </w:p>
    <w:p w14:paraId="3258C9E7" w14:textId="2B9C2FBE" w:rsidR="00EE0D55" w:rsidRPr="00FC2FB6" w:rsidRDefault="00EE0D55" w:rsidP="00EE0D55">
      <w:pPr>
        <w:rPr>
          <w:rFonts w:ascii="Tahoma" w:hAnsi="Tahoma" w:cs="Tahoma"/>
          <w:sz w:val="24"/>
          <w:szCs w:val="24"/>
        </w:rPr>
      </w:pPr>
      <w:r w:rsidRPr="00615E9B">
        <w:rPr>
          <w:rFonts w:ascii="Tahoma" w:hAnsi="Tahoma" w:cs="Tahoma"/>
          <w:b/>
          <w:color w:val="4472C4" w:themeColor="accent1"/>
          <w:sz w:val="24"/>
          <w:szCs w:val="24"/>
        </w:rPr>
        <w:t>CAS recommends:</w:t>
      </w:r>
      <w:r>
        <w:rPr>
          <w:rFonts w:ascii="Tahoma" w:hAnsi="Tahoma" w:cs="Tahoma"/>
          <w:b/>
          <w:color w:val="4472C4" w:themeColor="accent1"/>
          <w:sz w:val="24"/>
          <w:szCs w:val="24"/>
        </w:rPr>
        <w:t xml:space="preserve"> </w:t>
      </w:r>
      <w:r w:rsidRPr="00077409">
        <w:rPr>
          <w:rFonts w:ascii="Tahoma" w:hAnsi="Tahoma" w:cs="Tahoma"/>
          <w:sz w:val="24"/>
          <w:szCs w:val="24"/>
        </w:rPr>
        <w:t>Local authorities, social and private landlords</w:t>
      </w:r>
      <w:r>
        <w:rPr>
          <w:rFonts w:ascii="Tahoma" w:hAnsi="Tahoma" w:cs="Tahoma"/>
          <w:sz w:val="24"/>
          <w:szCs w:val="24"/>
        </w:rPr>
        <w:t xml:space="preserve"> should</w:t>
      </w:r>
      <w:r w:rsidRPr="00077409">
        <w:rPr>
          <w:rFonts w:ascii="Tahoma" w:hAnsi="Tahoma" w:cs="Tahoma"/>
          <w:sz w:val="24"/>
          <w:szCs w:val="24"/>
        </w:rPr>
        <w:t xml:space="preserve"> be supportive of tenants facing antisocial behaviour and play a constructive role in helping resolve disputes.</w:t>
      </w:r>
      <w:r>
        <w:t xml:space="preserve"> </w:t>
      </w:r>
      <w:r>
        <w:rPr>
          <w:rStyle w:val="CommentReference"/>
        </w:rPr>
        <w:annotationRef/>
      </w:r>
    </w:p>
    <w:p w14:paraId="6FB56D46" w14:textId="1E2E0ACC" w:rsidR="00980DC2" w:rsidRDefault="00980DC2"/>
    <w:p w14:paraId="6760EB08" w14:textId="00878BF7" w:rsidR="00980DC2" w:rsidRDefault="00980DC2"/>
    <w:p w14:paraId="6B1122DF" w14:textId="0B73C24C" w:rsidR="00EE0D55" w:rsidRDefault="00EE0D55"/>
    <w:p w14:paraId="72F1913B" w14:textId="385D8A68" w:rsidR="00EE0D55" w:rsidRDefault="00EE0D55"/>
    <w:p w14:paraId="73ED4A8B" w14:textId="1346805B" w:rsidR="00EE0D55" w:rsidRDefault="00EE0D55"/>
    <w:p w14:paraId="12B6E9F2" w14:textId="0E3995F3" w:rsidR="00EE0D55" w:rsidRDefault="00EE0D55"/>
    <w:p w14:paraId="523A451F" w14:textId="207A98CB" w:rsidR="00EE0D55" w:rsidRDefault="00EE0D55"/>
    <w:p w14:paraId="1A44781E" w14:textId="4FC0DE9B" w:rsidR="00EE0D55" w:rsidRDefault="00EE0D55"/>
    <w:p w14:paraId="3528B3A1" w14:textId="758000BA" w:rsidR="00EE0D55" w:rsidRDefault="00EE0D55"/>
    <w:p w14:paraId="4AA8C639" w14:textId="47C94CDA" w:rsidR="00EE0D55" w:rsidRDefault="00EE0D55"/>
    <w:p w14:paraId="1096205D" w14:textId="6A64491A" w:rsidR="00EE0D55" w:rsidRDefault="00EE0D55"/>
    <w:p w14:paraId="245568ED" w14:textId="7BA716F3" w:rsidR="00EE0D55" w:rsidRDefault="00EE0D55"/>
    <w:p w14:paraId="542853B9" w14:textId="2A20CC55" w:rsidR="00EE0D55" w:rsidRDefault="00EE0D55"/>
    <w:p w14:paraId="474B907A" w14:textId="20845FF1" w:rsidR="00EE0D55" w:rsidRDefault="00EE0D55"/>
    <w:p w14:paraId="1161638A" w14:textId="60346771" w:rsidR="00801993" w:rsidRDefault="00801993"/>
    <w:p w14:paraId="557150BC" w14:textId="773331B5" w:rsidR="00801993" w:rsidRDefault="00801993"/>
    <w:p w14:paraId="0206DECD" w14:textId="5C9DFD44" w:rsidR="00801993" w:rsidRDefault="00801993"/>
    <w:p w14:paraId="340A0CA6" w14:textId="0093F8DA" w:rsidR="00801993" w:rsidRDefault="00801993"/>
    <w:p w14:paraId="47BE6DAE" w14:textId="6F8285AD" w:rsidR="00801993" w:rsidRDefault="00801993"/>
    <w:p w14:paraId="7D4F1E80" w14:textId="5F5220FD" w:rsidR="00801993" w:rsidRDefault="00801993"/>
    <w:p w14:paraId="6CC879ED" w14:textId="61FA6824" w:rsidR="00801993" w:rsidRDefault="00801993"/>
    <w:p w14:paraId="5E7A0E69" w14:textId="0B87AA1D" w:rsidR="00801993" w:rsidRDefault="00801993"/>
    <w:p w14:paraId="6E95D773" w14:textId="77777777" w:rsidR="00801993" w:rsidRDefault="00801993"/>
    <w:p w14:paraId="46CAAF4F" w14:textId="77777777" w:rsidR="00EE0D55" w:rsidRDefault="00EE0D55"/>
    <w:p w14:paraId="314099E8" w14:textId="143C6BA0" w:rsidR="009815CF" w:rsidRPr="009815CF" w:rsidRDefault="00980DC2" w:rsidP="009815CF">
      <w:pPr>
        <w:rPr>
          <w:rFonts w:ascii="Tahoma" w:hAnsi="Tahoma" w:cs="Tahoma"/>
          <w:b/>
          <w:sz w:val="24"/>
          <w:szCs w:val="24"/>
        </w:rPr>
      </w:pPr>
      <w:r w:rsidRPr="003744D1">
        <w:rPr>
          <w:rFonts w:ascii="Tahoma" w:hAnsi="Tahoma" w:cs="Tahoma"/>
          <w:b/>
          <w:sz w:val="24"/>
          <w:szCs w:val="24"/>
        </w:rPr>
        <w:lastRenderedPageBreak/>
        <w:t>Advice on local authority housing</w:t>
      </w:r>
    </w:p>
    <w:p w14:paraId="4D46661A" w14:textId="3D5E4228" w:rsidR="05464BF3" w:rsidRDefault="05464BF3" w:rsidP="05464BF3">
      <w:pPr>
        <w:rPr>
          <w:rFonts w:ascii="Tahoma" w:hAnsi="Tahoma" w:cs="Tahoma"/>
          <w:b/>
          <w:bCs/>
          <w:sz w:val="24"/>
          <w:szCs w:val="24"/>
        </w:rPr>
      </w:pPr>
    </w:p>
    <w:p w14:paraId="35D6EDB0" w14:textId="15B23B36" w:rsidR="52137CA6" w:rsidRDefault="52137CA6" w:rsidP="05464BF3">
      <w:pPr>
        <w:rPr>
          <w:rFonts w:ascii="Tahoma" w:hAnsi="Tahoma" w:cs="Tahoma"/>
          <w:b/>
          <w:bCs/>
          <w:sz w:val="24"/>
          <w:szCs w:val="24"/>
        </w:rPr>
      </w:pPr>
      <w:r w:rsidRPr="05464BF3">
        <w:rPr>
          <w:rFonts w:ascii="Tahoma" w:hAnsi="Tahoma" w:cs="Tahoma"/>
          <w:sz w:val="24"/>
          <w:szCs w:val="24"/>
        </w:rPr>
        <w:t>Chart 5.</w:t>
      </w:r>
      <w:r w:rsidR="049B6409" w:rsidRPr="2B952462">
        <w:rPr>
          <w:rFonts w:ascii="Tahoma" w:hAnsi="Tahoma" w:cs="Tahoma"/>
          <w:sz w:val="24"/>
          <w:szCs w:val="24"/>
        </w:rPr>
        <w:t xml:space="preserve"> Top </w:t>
      </w:r>
      <w:r w:rsidR="049B6409" w:rsidRPr="4EE73A69">
        <w:rPr>
          <w:rFonts w:ascii="Tahoma" w:hAnsi="Tahoma" w:cs="Tahoma"/>
          <w:sz w:val="24"/>
          <w:szCs w:val="24"/>
        </w:rPr>
        <w:t xml:space="preserve">local </w:t>
      </w:r>
      <w:r w:rsidR="049B6409" w:rsidRPr="5D47CDFD">
        <w:rPr>
          <w:rFonts w:ascii="Tahoma" w:hAnsi="Tahoma" w:cs="Tahoma"/>
          <w:sz w:val="24"/>
          <w:szCs w:val="24"/>
        </w:rPr>
        <w:t>authority advice</w:t>
      </w:r>
      <w:r w:rsidR="049B6409" w:rsidRPr="158B6678">
        <w:rPr>
          <w:rFonts w:ascii="Tahoma" w:hAnsi="Tahoma" w:cs="Tahoma"/>
          <w:sz w:val="24"/>
          <w:szCs w:val="24"/>
        </w:rPr>
        <w:t xml:space="preserve"> areas as a proportion of</w:t>
      </w:r>
      <w:r w:rsidR="049B6409" w:rsidRPr="23EBFA0C">
        <w:rPr>
          <w:rFonts w:ascii="Tahoma" w:hAnsi="Tahoma" w:cs="Tahoma"/>
          <w:sz w:val="24"/>
          <w:szCs w:val="24"/>
        </w:rPr>
        <w:t xml:space="preserve"> all local </w:t>
      </w:r>
      <w:r w:rsidR="049B6409" w:rsidRPr="3C1485C9">
        <w:rPr>
          <w:rFonts w:ascii="Tahoma" w:hAnsi="Tahoma" w:cs="Tahoma"/>
          <w:sz w:val="24"/>
          <w:szCs w:val="24"/>
        </w:rPr>
        <w:t xml:space="preserve">authority housing </w:t>
      </w:r>
      <w:r w:rsidR="049B6409" w:rsidRPr="22D3BE95">
        <w:rPr>
          <w:rFonts w:ascii="Tahoma" w:hAnsi="Tahoma" w:cs="Tahoma"/>
          <w:sz w:val="24"/>
          <w:szCs w:val="24"/>
        </w:rPr>
        <w:t>advice</w:t>
      </w:r>
    </w:p>
    <w:p w14:paraId="6CF98ED9" w14:textId="6A5AF353" w:rsidR="00274CF1" w:rsidRDefault="00274CF1">
      <w:pPr>
        <w:rPr>
          <w:rFonts w:ascii="Tahoma" w:hAnsi="Tahoma" w:cs="Tahoma"/>
          <w:b/>
          <w:sz w:val="24"/>
          <w:szCs w:val="24"/>
        </w:rPr>
      </w:pPr>
      <w:r>
        <w:rPr>
          <w:noProof/>
        </w:rPr>
        <w:drawing>
          <wp:inline distT="0" distB="0" distL="0" distR="0" wp14:anchorId="3E35AB11" wp14:editId="68CAA479">
            <wp:extent cx="5731510" cy="3292475"/>
            <wp:effectExtent l="0" t="0" r="2540" b="3175"/>
            <wp:docPr id="12" name="Chart 12">
              <a:extLst xmlns:a="http://schemas.openxmlformats.org/drawingml/2006/main">
                <a:ext uri="{FF2B5EF4-FFF2-40B4-BE49-F238E27FC236}">
                  <a16:creationId xmlns:a16="http://schemas.microsoft.com/office/drawing/2014/main" id="{6F2E26A2-4446-4364-B064-9E6CB58F2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B80C81" w14:textId="77777777" w:rsidR="00274CF1" w:rsidRPr="003744D1" w:rsidRDefault="00274CF1">
      <w:pPr>
        <w:rPr>
          <w:rFonts w:ascii="Tahoma" w:hAnsi="Tahoma" w:cs="Tahoma"/>
          <w:b/>
          <w:sz w:val="24"/>
          <w:szCs w:val="24"/>
        </w:rPr>
      </w:pPr>
    </w:p>
    <w:p w14:paraId="6C6CADD6" w14:textId="5C3A98D3" w:rsidR="00980DC2" w:rsidRDefault="00980DC2"/>
    <w:p w14:paraId="0E45D78B" w14:textId="61C91354" w:rsidR="00980DC2" w:rsidRDefault="00980DC2">
      <w:pPr>
        <w:rPr>
          <w:b/>
        </w:rPr>
      </w:pPr>
    </w:p>
    <w:p w14:paraId="258497B1" w14:textId="450E758E" w:rsidR="00980DC2" w:rsidRPr="00F570BC" w:rsidRDefault="00943B28">
      <w:pPr>
        <w:rPr>
          <w:rFonts w:ascii="Tahoma" w:hAnsi="Tahoma" w:cs="Tahoma"/>
          <w:sz w:val="24"/>
          <w:szCs w:val="24"/>
        </w:rPr>
      </w:pPr>
      <w:r w:rsidRPr="2E32ED18">
        <w:rPr>
          <w:rFonts w:ascii="Tahoma" w:hAnsi="Tahoma" w:cs="Tahoma"/>
          <w:sz w:val="24"/>
          <w:szCs w:val="24"/>
        </w:rPr>
        <w:t xml:space="preserve">Among the types of local authority housing advice, </w:t>
      </w:r>
      <w:r w:rsidR="1F7BBA95" w:rsidRPr="2E32ED18">
        <w:rPr>
          <w:rFonts w:ascii="Tahoma" w:hAnsi="Tahoma" w:cs="Tahoma"/>
          <w:sz w:val="24"/>
          <w:szCs w:val="24"/>
        </w:rPr>
        <w:t xml:space="preserve">the proportion of </w:t>
      </w:r>
      <w:r w:rsidRPr="2E32ED18">
        <w:rPr>
          <w:rFonts w:ascii="Tahoma" w:hAnsi="Tahoma" w:cs="Tahoma"/>
          <w:sz w:val="24"/>
          <w:szCs w:val="24"/>
        </w:rPr>
        <w:t xml:space="preserve">advice about complaints saw the largest increase </w:t>
      </w:r>
      <w:r w:rsidR="00970762" w:rsidRPr="2E32ED18">
        <w:rPr>
          <w:rFonts w:ascii="Tahoma" w:hAnsi="Tahoma" w:cs="Tahoma"/>
          <w:sz w:val="24"/>
          <w:szCs w:val="24"/>
        </w:rPr>
        <w:t>from an average of 10%</w:t>
      </w:r>
      <w:r w:rsidR="00D604DA" w:rsidRPr="2E32ED18">
        <w:rPr>
          <w:rFonts w:ascii="Tahoma" w:hAnsi="Tahoma" w:cs="Tahoma"/>
          <w:sz w:val="24"/>
          <w:szCs w:val="24"/>
        </w:rPr>
        <w:t xml:space="preserve"> in</w:t>
      </w:r>
      <w:r w:rsidR="00970762" w:rsidRPr="2E32ED18">
        <w:rPr>
          <w:rFonts w:ascii="Tahoma" w:hAnsi="Tahoma" w:cs="Tahoma"/>
          <w:sz w:val="24"/>
          <w:szCs w:val="24"/>
        </w:rPr>
        <w:t xml:space="preserve"> </w:t>
      </w:r>
      <w:r w:rsidR="00D604DA" w:rsidRPr="2E32ED18">
        <w:rPr>
          <w:rFonts w:ascii="Tahoma" w:hAnsi="Tahoma" w:cs="Tahoma"/>
          <w:sz w:val="24"/>
          <w:szCs w:val="24"/>
        </w:rPr>
        <w:t>2019/20</w:t>
      </w:r>
      <w:r w:rsidR="00970762" w:rsidRPr="2E32ED18">
        <w:rPr>
          <w:rFonts w:ascii="Tahoma" w:hAnsi="Tahoma" w:cs="Tahoma"/>
          <w:sz w:val="24"/>
          <w:szCs w:val="24"/>
        </w:rPr>
        <w:t xml:space="preserve"> to 13%</w:t>
      </w:r>
      <w:r w:rsidR="00D604DA" w:rsidRPr="2E32ED18">
        <w:rPr>
          <w:rFonts w:ascii="Tahoma" w:hAnsi="Tahoma" w:cs="Tahoma"/>
          <w:sz w:val="24"/>
          <w:szCs w:val="24"/>
        </w:rPr>
        <w:t xml:space="preserve"> in 2020/21. </w:t>
      </w:r>
      <w:r w:rsidR="66E1AACD" w:rsidRPr="2E32ED18">
        <w:rPr>
          <w:rFonts w:ascii="Tahoma" w:hAnsi="Tahoma" w:cs="Tahoma"/>
          <w:sz w:val="24"/>
          <w:szCs w:val="24"/>
        </w:rPr>
        <w:t xml:space="preserve">The proportion of </w:t>
      </w:r>
      <w:r w:rsidR="30A1BF5D" w:rsidRPr="2E32ED18">
        <w:rPr>
          <w:rFonts w:ascii="Tahoma" w:hAnsi="Tahoma" w:cs="Tahoma"/>
          <w:sz w:val="24"/>
          <w:szCs w:val="24"/>
        </w:rPr>
        <w:t>a</w:t>
      </w:r>
      <w:r w:rsidR="009A12AF" w:rsidRPr="2E32ED18">
        <w:rPr>
          <w:rFonts w:ascii="Tahoma" w:hAnsi="Tahoma" w:cs="Tahoma"/>
          <w:sz w:val="24"/>
          <w:szCs w:val="24"/>
        </w:rPr>
        <w:t>dvice on r</w:t>
      </w:r>
      <w:r w:rsidR="00AF604B" w:rsidRPr="2E32ED18">
        <w:rPr>
          <w:rFonts w:ascii="Tahoma" w:hAnsi="Tahoma" w:cs="Tahoma"/>
          <w:sz w:val="24"/>
          <w:szCs w:val="24"/>
        </w:rPr>
        <w:t>epairs and maintenance issues</w:t>
      </w:r>
      <w:r w:rsidR="004B52E7" w:rsidRPr="2E32ED18">
        <w:rPr>
          <w:rFonts w:ascii="Tahoma" w:hAnsi="Tahoma" w:cs="Tahoma"/>
          <w:sz w:val="24"/>
          <w:szCs w:val="24"/>
        </w:rPr>
        <w:t xml:space="preserve"> followed a similar trend to PRS repairs </w:t>
      </w:r>
      <w:r w:rsidR="001E63F8" w:rsidRPr="2E32ED18">
        <w:rPr>
          <w:rFonts w:ascii="Tahoma" w:hAnsi="Tahoma" w:cs="Tahoma"/>
          <w:sz w:val="24"/>
          <w:szCs w:val="24"/>
        </w:rPr>
        <w:t>advice and</w:t>
      </w:r>
      <w:r w:rsidR="00ED4D92" w:rsidRPr="2E32ED18">
        <w:rPr>
          <w:rFonts w:ascii="Tahoma" w:hAnsi="Tahoma" w:cs="Tahoma"/>
          <w:sz w:val="24"/>
          <w:szCs w:val="24"/>
        </w:rPr>
        <w:t xml:space="preserve"> experienced a</w:t>
      </w:r>
      <w:r w:rsidR="00011AC4" w:rsidRPr="2E32ED18">
        <w:rPr>
          <w:rFonts w:ascii="Tahoma" w:hAnsi="Tahoma" w:cs="Tahoma"/>
          <w:sz w:val="24"/>
          <w:szCs w:val="24"/>
        </w:rPr>
        <w:t xml:space="preserve"> fairly</w:t>
      </w:r>
      <w:r w:rsidR="00ED4D92" w:rsidRPr="2E32ED18">
        <w:rPr>
          <w:rFonts w:ascii="Tahoma" w:hAnsi="Tahoma" w:cs="Tahoma"/>
          <w:sz w:val="24"/>
          <w:szCs w:val="24"/>
        </w:rPr>
        <w:t xml:space="preserve"> sustained </w:t>
      </w:r>
      <w:r w:rsidR="009A12AF" w:rsidRPr="2E32ED18">
        <w:rPr>
          <w:rFonts w:ascii="Tahoma" w:hAnsi="Tahoma" w:cs="Tahoma"/>
          <w:sz w:val="24"/>
          <w:szCs w:val="24"/>
        </w:rPr>
        <w:t>growth across the two years, with the exception of a slight dip in Q1 of 2020/21</w:t>
      </w:r>
      <w:r w:rsidR="004B52E7" w:rsidRPr="2E32ED18">
        <w:rPr>
          <w:rFonts w:ascii="Tahoma" w:hAnsi="Tahoma" w:cs="Tahoma"/>
          <w:sz w:val="24"/>
          <w:szCs w:val="24"/>
        </w:rPr>
        <w:t xml:space="preserve">. </w:t>
      </w:r>
      <w:r w:rsidR="7D455F67" w:rsidRPr="2E32ED18">
        <w:rPr>
          <w:rFonts w:ascii="Tahoma" w:hAnsi="Tahoma" w:cs="Tahoma"/>
          <w:sz w:val="24"/>
          <w:szCs w:val="24"/>
        </w:rPr>
        <w:t xml:space="preserve">The proportion of </w:t>
      </w:r>
      <w:r w:rsidR="46EDCFC6" w:rsidRPr="2E32ED18">
        <w:rPr>
          <w:rFonts w:ascii="Tahoma" w:hAnsi="Tahoma" w:cs="Tahoma"/>
          <w:sz w:val="24"/>
          <w:szCs w:val="24"/>
        </w:rPr>
        <w:t>a</w:t>
      </w:r>
      <w:r w:rsidR="004B52E7" w:rsidRPr="2E32ED18">
        <w:rPr>
          <w:rFonts w:ascii="Tahoma" w:hAnsi="Tahoma" w:cs="Tahoma"/>
          <w:sz w:val="24"/>
          <w:szCs w:val="24"/>
        </w:rPr>
        <w:t>dvice</w:t>
      </w:r>
      <w:r w:rsidR="00540FAF" w:rsidRPr="2E32ED18">
        <w:rPr>
          <w:rFonts w:ascii="Tahoma" w:hAnsi="Tahoma" w:cs="Tahoma"/>
          <w:sz w:val="24"/>
          <w:szCs w:val="24"/>
        </w:rPr>
        <w:t xml:space="preserve"> </w:t>
      </w:r>
      <w:r w:rsidR="33B6256E" w:rsidRPr="2E32ED18">
        <w:rPr>
          <w:rFonts w:ascii="Tahoma" w:hAnsi="Tahoma" w:cs="Tahoma"/>
          <w:sz w:val="24"/>
          <w:szCs w:val="24"/>
        </w:rPr>
        <w:t xml:space="preserve">given </w:t>
      </w:r>
      <w:r w:rsidR="00540FAF" w:rsidRPr="2E32ED18">
        <w:rPr>
          <w:rFonts w:ascii="Tahoma" w:hAnsi="Tahoma" w:cs="Tahoma"/>
          <w:sz w:val="24"/>
          <w:szCs w:val="24"/>
        </w:rPr>
        <w:t>in this area finished at its highest level</w:t>
      </w:r>
      <w:r w:rsidR="00025CFA" w:rsidRPr="2E32ED18">
        <w:rPr>
          <w:rFonts w:ascii="Tahoma" w:hAnsi="Tahoma" w:cs="Tahoma"/>
          <w:sz w:val="24"/>
          <w:szCs w:val="24"/>
        </w:rPr>
        <w:t xml:space="preserve"> in two years</w:t>
      </w:r>
      <w:r w:rsidR="00540FAF" w:rsidRPr="2E32ED18">
        <w:rPr>
          <w:rFonts w:ascii="Tahoma" w:hAnsi="Tahoma" w:cs="Tahoma"/>
          <w:sz w:val="24"/>
          <w:szCs w:val="24"/>
        </w:rPr>
        <w:t xml:space="preserve"> </w:t>
      </w:r>
      <w:r w:rsidR="00025CFA" w:rsidRPr="2E32ED18">
        <w:rPr>
          <w:rFonts w:ascii="Tahoma" w:hAnsi="Tahoma" w:cs="Tahoma"/>
          <w:sz w:val="24"/>
          <w:szCs w:val="24"/>
        </w:rPr>
        <w:t>at</w:t>
      </w:r>
      <w:r w:rsidR="00540FAF" w:rsidRPr="2E32ED18">
        <w:rPr>
          <w:rFonts w:ascii="Tahoma" w:hAnsi="Tahoma" w:cs="Tahoma"/>
          <w:sz w:val="24"/>
          <w:szCs w:val="24"/>
        </w:rPr>
        <w:t xml:space="preserve"> 18% of LA housing advice in Q4</w:t>
      </w:r>
      <w:r w:rsidR="00307CDC" w:rsidRPr="2E32ED18">
        <w:rPr>
          <w:rFonts w:ascii="Tahoma" w:hAnsi="Tahoma" w:cs="Tahoma"/>
          <w:sz w:val="24"/>
          <w:szCs w:val="24"/>
        </w:rPr>
        <w:t>, overtaking suitability of accommodation as the most common type of local authority advice.</w:t>
      </w:r>
    </w:p>
    <w:p w14:paraId="274C8EE4" w14:textId="11E6F096" w:rsidR="00E7747C" w:rsidRPr="00F570BC" w:rsidRDefault="00E7747C" w:rsidP="2E32ED18">
      <w:pPr>
        <w:rPr>
          <w:rFonts w:ascii="Tahoma" w:hAnsi="Tahoma" w:cs="Tahoma"/>
          <w:b/>
          <w:bCs/>
          <w:sz w:val="24"/>
          <w:szCs w:val="24"/>
        </w:rPr>
      </w:pPr>
      <w:r w:rsidRPr="2E32ED18">
        <w:rPr>
          <w:rFonts w:ascii="Tahoma" w:hAnsi="Tahoma" w:cs="Tahoma"/>
          <w:sz w:val="24"/>
          <w:szCs w:val="24"/>
        </w:rPr>
        <w:t xml:space="preserve">Conversely, </w:t>
      </w:r>
      <w:r w:rsidR="1EAC9DA5" w:rsidRPr="2E32ED18">
        <w:rPr>
          <w:rFonts w:ascii="Tahoma" w:hAnsi="Tahoma" w:cs="Tahoma"/>
          <w:sz w:val="24"/>
          <w:szCs w:val="24"/>
        </w:rPr>
        <w:t xml:space="preserve">the proportion of </w:t>
      </w:r>
      <w:r w:rsidRPr="2E32ED18">
        <w:rPr>
          <w:rFonts w:ascii="Tahoma" w:hAnsi="Tahoma" w:cs="Tahoma"/>
          <w:sz w:val="24"/>
          <w:szCs w:val="24"/>
        </w:rPr>
        <w:t xml:space="preserve">advice </w:t>
      </w:r>
      <w:r w:rsidR="33802BB5" w:rsidRPr="2E32ED18">
        <w:rPr>
          <w:rFonts w:ascii="Tahoma" w:hAnsi="Tahoma" w:cs="Tahoma"/>
          <w:sz w:val="24"/>
          <w:szCs w:val="24"/>
        </w:rPr>
        <w:t xml:space="preserve">given </w:t>
      </w:r>
      <w:r w:rsidRPr="2E32ED18">
        <w:rPr>
          <w:rFonts w:ascii="Tahoma" w:hAnsi="Tahoma" w:cs="Tahoma"/>
          <w:sz w:val="24"/>
          <w:szCs w:val="24"/>
        </w:rPr>
        <w:t xml:space="preserve">about rents and other charges experienced a significant decrease between the two years, </w:t>
      </w:r>
      <w:r w:rsidR="0050070B" w:rsidRPr="2E32ED18">
        <w:rPr>
          <w:rFonts w:ascii="Tahoma" w:hAnsi="Tahoma" w:cs="Tahoma"/>
          <w:sz w:val="24"/>
          <w:szCs w:val="24"/>
        </w:rPr>
        <w:t>with a drop of 9 percentage points between Q3 of 2019/20 and the same period the following years.</w:t>
      </w:r>
      <w:r w:rsidR="007B355B" w:rsidRPr="2E32ED18">
        <w:rPr>
          <w:rFonts w:ascii="Tahoma" w:hAnsi="Tahoma" w:cs="Tahoma"/>
          <w:sz w:val="24"/>
          <w:szCs w:val="24"/>
        </w:rPr>
        <w:t xml:space="preserve"> Q4 saw advice in this area at its lowest level </w:t>
      </w:r>
      <w:r w:rsidR="00DD262E" w:rsidRPr="2E32ED18">
        <w:rPr>
          <w:rFonts w:ascii="Tahoma" w:hAnsi="Tahoma" w:cs="Tahoma"/>
          <w:sz w:val="24"/>
          <w:szCs w:val="24"/>
        </w:rPr>
        <w:t>for two years at 9%.</w:t>
      </w:r>
    </w:p>
    <w:p w14:paraId="6450ECA4" w14:textId="77777777" w:rsidR="00EE0D55" w:rsidRDefault="00EE0D55" w:rsidP="00EE0D55">
      <w:pPr>
        <w:rPr>
          <w:rFonts w:ascii="Tahoma" w:hAnsi="Tahoma" w:cs="Tahoma"/>
          <w:sz w:val="24"/>
          <w:szCs w:val="24"/>
        </w:rPr>
      </w:pPr>
      <w:r w:rsidRPr="2E32ED18">
        <w:rPr>
          <w:rFonts w:ascii="Tahoma" w:hAnsi="Tahoma" w:cs="Tahoma"/>
          <w:sz w:val="24"/>
          <w:szCs w:val="24"/>
        </w:rPr>
        <w:t xml:space="preserve">Advice code data on local authority housing indicates that there is growing concern regarding repairs and maintenance issues, reflecting what we can see happening in the private rented sector on a more long-term basis. This may suggest that while some of this increase can be attributed to the restrictions on tradespeople entering </w:t>
      </w:r>
      <w:r w:rsidRPr="2E32ED18">
        <w:rPr>
          <w:rFonts w:ascii="Tahoma" w:hAnsi="Tahoma" w:cs="Tahoma"/>
          <w:sz w:val="24"/>
          <w:szCs w:val="24"/>
        </w:rPr>
        <w:lastRenderedPageBreak/>
        <w:t>homes and repair work being delayed, the increase in the quarters before the pandemic will have been caused by another factor. It may be that ever-tightening council budgets have led to less to spend on repairs and maintenance. As with the private sector, tenants have the right to safe and warm homes and local authorities should ensure that delays with repairs do not compromise this right. Th</w:t>
      </w:r>
      <w:r>
        <w:rPr>
          <w:rFonts w:ascii="Tahoma" w:hAnsi="Tahoma" w:cs="Tahoma"/>
          <w:sz w:val="24"/>
          <w:szCs w:val="24"/>
        </w:rPr>
        <w:t>is</w:t>
      </w:r>
      <w:r w:rsidRPr="2E32ED18">
        <w:rPr>
          <w:rFonts w:ascii="Tahoma" w:hAnsi="Tahoma" w:cs="Tahoma"/>
          <w:sz w:val="24"/>
          <w:szCs w:val="24"/>
        </w:rPr>
        <w:t xml:space="preserve"> may be closely interlinked with the upward trend in complaints to local authorities as tenants’ and others’ patience wears thin with ongoing delays. </w:t>
      </w:r>
    </w:p>
    <w:p w14:paraId="0F93308A" w14:textId="77777777" w:rsidR="00EE0D55" w:rsidRDefault="00EE0D55" w:rsidP="00EE0D55">
      <w:pPr>
        <w:rPr>
          <w:rFonts w:ascii="Tahoma" w:hAnsi="Tahoma" w:cs="Tahoma"/>
          <w:sz w:val="24"/>
          <w:szCs w:val="24"/>
        </w:rPr>
      </w:pPr>
      <w:r w:rsidRPr="00FA68DC">
        <w:rPr>
          <w:rFonts w:ascii="Tahoma" w:hAnsi="Tahoma" w:cs="Tahoma"/>
          <w:b/>
          <w:sz w:val="24"/>
          <w:szCs w:val="24"/>
        </w:rPr>
        <w:t>Citizens Alert</w:t>
      </w:r>
      <w:r>
        <w:rPr>
          <w:rFonts w:ascii="Tahoma" w:hAnsi="Tahoma" w:cs="Tahoma"/>
          <w:b/>
          <w:sz w:val="24"/>
          <w:szCs w:val="24"/>
        </w:rPr>
        <w:t xml:space="preserve">: </w:t>
      </w:r>
      <w:r>
        <w:rPr>
          <w:rFonts w:ascii="Tahoma" w:hAnsi="Tahoma" w:cs="Tahoma"/>
          <w:sz w:val="24"/>
          <w:szCs w:val="24"/>
        </w:rPr>
        <w:t>A West of Scotland CAB reports of a client with a toddler living in temporary accommodation. The client has been without hot water for eight months. Despite several repair visits, the issue has not been resolved and due to COVID restrictions, the client cannot be moved into another property.</w:t>
      </w:r>
    </w:p>
    <w:p w14:paraId="53E425D8" w14:textId="77777777" w:rsidR="00241B47" w:rsidRDefault="00241B47" w:rsidP="00241B47">
      <w:pPr>
        <w:rPr>
          <w:rFonts w:ascii="Tahoma" w:hAnsi="Tahoma" w:cs="Tahoma"/>
          <w:sz w:val="24"/>
          <w:szCs w:val="24"/>
        </w:rPr>
      </w:pPr>
      <w:r w:rsidRPr="00AB4E6C">
        <w:rPr>
          <w:rFonts w:ascii="Tahoma" w:hAnsi="Tahoma" w:cs="Tahoma"/>
          <w:b/>
          <w:color w:val="4472C4" w:themeColor="accent1"/>
          <w:sz w:val="24"/>
          <w:szCs w:val="24"/>
        </w:rPr>
        <w:t>CAS recommends:</w:t>
      </w:r>
      <w:r>
        <w:rPr>
          <w:rFonts w:ascii="Tahoma" w:hAnsi="Tahoma" w:cs="Tahoma"/>
          <w:b/>
          <w:sz w:val="24"/>
          <w:szCs w:val="24"/>
        </w:rPr>
        <w:t xml:space="preserve"> </w:t>
      </w:r>
    </w:p>
    <w:p w14:paraId="728CBC90" w14:textId="174B4F57" w:rsidR="00241B47" w:rsidRDefault="00241B47" w:rsidP="00241B47">
      <w:pPr>
        <w:rPr>
          <w:rFonts w:ascii="Tahoma" w:hAnsi="Tahoma" w:cs="Tahoma"/>
          <w:sz w:val="24"/>
          <w:szCs w:val="24"/>
        </w:rPr>
      </w:pPr>
      <w:r w:rsidRPr="00EE1E52">
        <w:rPr>
          <w:rFonts w:ascii="Tahoma" w:hAnsi="Tahoma" w:cs="Tahoma"/>
          <w:sz w:val="24"/>
          <w:szCs w:val="24"/>
        </w:rPr>
        <w:t>L</w:t>
      </w:r>
      <w:r>
        <w:rPr>
          <w:rFonts w:ascii="Tahoma" w:hAnsi="Tahoma" w:cs="Tahoma"/>
          <w:sz w:val="24"/>
          <w:szCs w:val="24"/>
        </w:rPr>
        <w:t xml:space="preserve">ocal </w:t>
      </w:r>
      <w:r w:rsidRPr="49FFB752">
        <w:rPr>
          <w:rFonts w:ascii="Tahoma" w:hAnsi="Tahoma" w:cs="Tahoma"/>
          <w:sz w:val="24"/>
          <w:szCs w:val="24"/>
        </w:rPr>
        <w:t>authorit</w:t>
      </w:r>
      <w:r w:rsidR="3CEFCBAC" w:rsidRPr="49FFB752">
        <w:rPr>
          <w:rFonts w:ascii="Tahoma" w:hAnsi="Tahoma" w:cs="Tahoma"/>
          <w:sz w:val="24"/>
          <w:szCs w:val="24"/>
        </w:rPr>
        <w:t>y landlords</w:t>
      </w:r>
      <w:r w:rsidRPr="00EE1E52">
        <w:rPr>
          <w:rFonts w:ascii="Tahoma" w:hAnsi="Tahoma" w:cs="Tahoma"/>
          <w:sz w:val="24"/>
          <w:szCs w:val="24"/>
        </w:rPr>
        <w:t xml:space="preserve"> and tenants should work together to quickly resolve outstanding maintenance issues now that most restrictions on works in homes have eased (</w:t>
      </w:r>
      <w:r w:rsidR="5738E189" w:rsidRPr="49FFB752">
        <w:rPr>
          <w:rFonts w:ascii="Tahoma" w:hAnsi="Tahoma" w:cs="Tahoma"/>
          <w:sz w:val="24"/>
          <w:szCs w:val="24"/>
        </w:rPr>
        <w:t>providing tenant</w:t>
      </w:r>
      <w:r w:rsidR="0A385D15" w:rsidRPr="49FFB752">
        <w:rPr>
          <w:rFonts w:ascii="Tahoma" w:hAnsi="Tahoma" w:cs="Tahoma"/>
          <w:sz w:val="24"/>
          <w:szCs w:val="24"/>
        </w:rPr>
        <w:t>s feel it</w:t>
      </w:r>
      <w:r w:rsidRPr="00EE1E52">
        <w:rPr>
          <w:rFonts w:ascii="Tahoma" w:hAnsi="Tahoma" w:cs="Tahoma"/>
          <w:sz w:val="24"/>
          <w:szCs w:val="24"/>
        </w:rPr>
        <w:t xml:space="preserve"> is </w:t>
      </w:r>
      <w:r w:rsidR="0A385D15" w:rsidRPr="49FFB752">
        <w:rPr>
          <w:rFonts w:ascii="Tahoma" w:hAnsi="Tahoma" w:cs="Tahoma"/>
          <w:sz w:val="24"/>
          <w:szCs w:val="24"/>
        </w:rPr>
        <w:t>safe</w:t>
      </w:r>
      <w:r w:rsidRPr="00EE1E52">
        <w:rPr>
          <w:rFonts w:ascii="Tahoma" w:hAnsi="Tahoma" w:cs="Tahoma"/>
          <w:sz w:val="24"/>
          <w:szCs w:val="24"/>
        </w:rPr>
        <w:t xml:space="preserve"> for </w:t>
      </w:r>
      <w:r w:rsidR="0A385D15" w:rsidRPr="49FFB752">
        <w:rPr>
          <w:rFonts w:ascii="Tahoma" w:hAnsi="Tahoma" w:cs="Tahoma"/>
          <w:sz w:val="24"/>
          <w:szCs w:val="24"/>
        </w:rPr>
        <w:t>works to be carried out</w:t>
      </w:r>
      <w:r>
        <w:rPr>
          <w:rFonts w:ascii="Tahoma" w:hAnsi="Tahoma" w:cs="Tahoma"/>
          <w:sz w:val="24"/>
          <w:szCs w:val="24"/>
        </w:rPr>
        <w:t>).</w:t>
      </w:r>
    </w:p>
    <w:p w14:paraId="3214D856" w14:textId="61E9C02C" w:rsidR="00980DC2" w:rsidRDefault="00980DC2">
      <w:pPr>
        <w:rPr>
          <w:b/>
        </w:rPr>
      </w:pPr>
    </w:p>
    <w:p w14:paraId="5F7E3532" w14:textId="77777777" w:rsidR="00241B47" w:rsidRDefault="00241B47">
      <w:pPr>
        <w:rPr>
          <w:b/>
        </w:rPr>
      </w:pPr>
    </w:p>
    <w:p w14:paraId="226462C7" w14:textId="002E3A39" w:rsidR="00980DC2" w:rsidRDefault="00980DC2">
      <w:pPr>
        <w:rPr>
          <w:b/>
        </w:rPr>
      </w:pPr>
    </w:p>
    <w:p w14:paraId="087C4C97" w14:textId="590ACFB4" w:rsidR="00980DC2" w:rsidRDefault="00980DC2">
      <w:pPr>
        <w:rPr>
          <w:b/>
        </w:rPr>
      </w:pPr>
    </w:p>
    <w:p w14:paraId="0ECF16A4" w14:textId="39A45AC9" w:rsidR="002818D4" w:rsidRDefault="002818D4">
      <w:pPr>
        <w:rPr>
          <w:b/>
        </w:rPr>
      </w:pPr>
    </w:p>
    <w:p w14:paraId="713B9640" w14:textId="16000F29" w:rsidR="002818D4" w:rsidRDefault="002818D4">
      <w:pPr>
        <w:rPr>
          <w:b/>
        </w:rPr>
      </w:pPr>
    </w:p>
    <w:p w14:paraId="1B525FC1" w14:textId="1162FC22" w:rsidR="002818D4" w:rsidRDefault="002818D4">
      <w:pPr>
        <w:rPr>
          <w:b/>
        </w:rPr>
      </w:pPr>
    </w:p>
    <w:p w14:paraId="1D6F5163" w14:textId="5291FCCF" w:rsidR="00452301" w:rsidRDefault="00452301">
      <w:pPr>
        <w:rPr>
          <w:b/>
        </w:rPr>
      </w:pPr>
    </w:p>
    <w:p w14:paraId="459C73BB" w14:textId="05774A78" w:rsidR="00452301" w:rsidRDefault="00452301">
      <w:pPr>
        <w:rPr>
          <w:b/>
        </w:rPr>
      </w:pPr>
    </w:p>
    <w:p w14:paraId="4C70A274" w14:textId="18151336" w:rsidR="00801993" w:rsidRDefault="00801993">
      <w:pPr>
        <w:rPr>
          <w:b/>
        </w:rPr>
      </w:pPr>
    </w:p>
    <w:p w14:paraId="7B8EB4A3" w14:textId="2CB4CFFF" w:rsidR="00801993" w:rsidRDefault="00801993">
      <w:pPr>
        <w:rPr>
          <w:b/>
        </w:rPr>
      </w:pPr>
    </w:p>
    <w:p w14:paraId="2F9C2A00" w14:textId="15041CF7" w:rsidR="00801993" w:rsidRDefault="00801993">
      <w:pPr>
        <w:rPr>
          <w:b/>
        </w:rPr>
      </w:pPr>
    </w:p>
    <w:p w14:paraId="59D7F6D6" w14:textId="4D25580B" w:rsidR="00801993" w:rsidRDefault="00801993">
      <w:pPr>
        <w:rPr>
          <w:b/>
        </w:rPr>
      </w:pPr>
    </w:p>
    <w:p w14:paraId="2CAF71D8" w14:textId="61AF28C2" w:rsidR="00801993" w:rsidRDefault="00801993">
      <w:pPr>
        <w:rPr>
          <w:b/>
        </w:rPr>
      </w:pPr>
    </w:p>
    <w:p w14:paraId="17BB8AA6" w14:textId="10C2B290" w:rsidR="00801993" w:rsidRDefault="00801993">
      <w:pPr>
        <w:rPr>
          <w:b/>
        </w:rPr>
      </w:pPr>
    </w:p>
    <w:p w14:paraId="1848F0E4" w14:textId="414E259B" w:rsidR="00801993" w:rsidRDefault="00801993">
      <w:pPr>
        <w:rPr>
          <w:b/>
        </w:rPr>
      </w:pPr>
    </w:p>
    <w:p w14:paraId="6E058FC9" w14:textId="77777777" w:rsidR="00801993" w:rsidRDefault="00801993">
      <w:pPr>
        <w:rPr>
          <w:b/>
        </w:rPr>
      </w:pPr>
    </w:p>
    <w:p w14:paraId="7F08F50A" w14:textId="77777777" w:rsidR="00452301" w:rsidRDefault="00452301">
      <w:pPr>
        <w:rPr>
          <w:b/>
        </w:rPr>
      </w:pPr>
    </w:p>
    <w:p w14:paraId="4CC85FB9" w14:textId="3E0D239C" w:rsidR="002818D4" w:rsidRDefault="002818D4">
      <w:pPr>
        <w:rPr>
          <w:b/>
        </w:rPr>
      </w:pPr>
    </w:p>
    <w:p w14:paraId="4EB05C71" w14:textId="77777777" w:rsidR="002818D4" w:rsidRDefault="002818D4" w:rsidP="002818D4">
      <w:pPr>
        <w:rPr>
          <w:rFonts w:ascii="Tahoma" w:hAnsi="Tahoma" w:cs="Tahoma"/>
          <w:b/>
          <w:sz w:val="24"/>
          <w:szCs w:val="24"/>
        </w:rPr>
      </w:pPr>
      <w:r>
        <w:rPr>
          <w:rFonts w:ascii="Tahoma" w:hAnsi="Tahoma" w:cs="Tahoma"/>
          <w:b/>
          <w:sz w:val="24"/>
          <w:szCs w:val="24"/>
        </w:rPr>
        <w:lastRenderedPageBreak/>
        <w:t>Advice on Registered Social Landlord housing</w:t>
      </w:r>
    </w:p>
    <w:p w14:paraId="713264F2" w14:textId="3E7E38C2" w:rsidR="40692199" w:rsidRDefault="4896F4E5" w:rsidP="3B831007">
      <w:pPr>
        <w:rPr>
          <w:rFonts w:ascii="Tahoma" w:hAnsi="Tahoma" w:cs="Tahoma"/>
          <w:sz w:val="24"/>
          <w:szCs w:val="24"/>
        </w:rPr>
      </w:pPr>
      <w:r w:rsidRPr="2CDD8584">
        <w:rPr>
          <w:rFonts w:ascii="Tahoma" w:hAnsi="Tahoma" w:cs="Tahoma"/>
          <w:sz w:val="24"/>
          <w:szCs w:val="24"/>
        </w:rPr>
        <w:t xml:space="preserve">Chart </w:t>
      </w:r>
      <w:r w:rsidRPr="3B3E1918">
        <w:rPr>
          <w:rFonts w:ascii="Tahoma" w:hAnsi="Tahoma" w:cs="Tahoma"/>
          <w:sz w:val="24"/>
          <w:szCs w:val="24"/>
        </w:rPr>
        <w:t xml:space="preserve">6. </w:t>
      </w:r>
      <w:r w:rsidR="69D9E032" w:rsidRPr="0273BAE9">
        <w:rPr>
          <w:rFonts w:ascii="Tahoma" w:hAnsi="Tahoma" w:cs="Tahoma"/>
          <w:sz w:val="24"/>
          <w:szCs w:val="24"/>
        </w:rPr>
        <w:t xml:space="preserve">Top RSL advice areas as a </w:t>
      </w:r>
      <w:r w:rsidR="69D9E032" w:rsidRPr="25C5D0F0">
        <w:rPr>
          <w:rFonts w:ascii="Tahoma" w:hAnsi="Tahoma" w:cs="Tahoma"/>
          <w:sz w:val="24"/>
          <w:szCs w:val="24"/>
        </w:rPr>
        <w:t xml:space="preserve">proportion of </w:t>
      </w:r>
      <w:r w:rsidR="69D9E032" w:rsidRPr="4917E6F7">
        <w:rPr>
          <w:rFonts w:ascii="Tahoma" w:hAnsi="Tahoma" w:cs="Tahoma"/>
          <w:sz w:val="24"/>
          <w:szCs w:val="24"/>
        </w:rPr>
        <w:t>all RSL advice</w:t>
      </w:r>
    </w:p>
    <w:p w14:paraId="02A74E66" w14:textId="3D47F4D8" w:rsidR="002818D4" w:rsidRDefault="002818D4" w:rsidP="002818D4">
      <w:pPr>
        <w:rPr>
          <w:rFonts w:ascii="Tahoma" w:hAnsi="Tahoma" w:cs="Tahoma"/>
          <w:b/>
          <w:sz w:val="24"/>
          <w:szCs w:val="24"/>
        </w:rPr>
      </w:pPr>
      <w:r>
        <w:rPr>
          <w:noProof/>
        </w:rPr>
        <w:drawing>
          <wp:inline distT="0" distB="0" distL="0" distR="0" wp14:anchorId="020E8493" wp14:editId="0C88CE73">
            <wp:extent cx="5708650" cy="2934335"/>
            <wp:effectExtent l="0" t="0" r="6350" b="0"/>
            <wp:docPr id="15" name="Chart 15">
              <a:extLst xmlns:a="http://schemas.openxmlformats.org/drawingml/2006/main">
                <a:ext uri="{FF2B5EF4-FFF2-40B4-BE49-F238E27FC236}">
                  <a16:creationId xmlns:a16="http://schemas.microsoft.com/office/drawing/2014/main" id="{54194EE5-DF60-4B6E-A7C6-D170F2F40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775095" w14:textId="472EFB34" w:rsidR="002818D4" w:rsidRPr="00F23BC6" w:rsidRDefault="300B9853" w:rsidP="002818D4">
      <w:pPr>
        <w:rPr>
          <w:rFonts w:ascii="Tahoma" w:hAnsi="Tahoma" w:cs="Tahoma"/>
          <w:sz w:val="24"/>
          <w:szCs w:val="24"/>
        </w:rPr>
      </w:pPr>
      <w:r w:rsidRPr="2E32ED18">
        <w:rPr>
          <w:rFonts w:ascii="Tahoma" w:hAnsi="Tahoma" w:cs="Tahoma"/>
          <w:sz w:val="24"/>
          <w:szCs w:val="24"/>
        </w:rPr>
        <w:t xml:space="preserve">The proportion of </w:t>
      </w:r>
      <w:r w:rsidR="7F26C938" w:rsidRPr="2E32ED18">
        <w:rPr>
          <w:rFonts w:ascii="Tahoma" w:hAnsi="Tahoma" w:cs="Tahoma"/>
          <w:sz w:val="24"/>
          <w:szCs w:val="24"/>
        </w:rPr>
        <w:t>a</w:t>
      </w:r>
      <w:r w:rsidR="002818D4" w:rsidRPr="2E32ED18">
        <w:rPr>
          <w:rFonts w:ascii="Tahoma" w:hAnsi="Tahoma" w:cs="Tahoma"/>
          <w:sz w:val="24"/>
          <w:szCs w:val="24"/>
        </w:rPr>
        <w:t xml:space="preserve">dvice on rents and other charges in the registered social landlord sector saw a notable decrease in the later three quarters of 2020/21 compared to Q1 of 2020/21 and all of 2019/20. </w:t>
      </w:r>
      <w:r w:rsidR="7AD616B1" w:rsidRPr="2E32ED18">
        <w:rPr>
          <w:rFonts w:ascii="Tahoma" w:hAnsi="Tahoma" w:cs="Tahoma"/>
          <w:sz w:val="24"/>
          <w:szCs w:val="24"/>
        </w:rPr>
        <w:t xml:space="preserve">The proportion of </w:t>
      </w:r>
      <w:r w:rsidR="46AEA328" w:rsidRPr="2E32ED18">
        <w:rPr>
          <w:rFonts w:ascii="Tahoma" w:hAnsi="Tahoma" w:cs="Tahoma"/>
          <w:sz w:val="24"/>
          <w:szCs w:val="24"/>
        </w:rPr>
        <w:t>a</w:t>
      </w:r>
      <w:r w:rsidR="002818D4" w:rsidRPr="2E32ED18">
        <w:rPr>
          <w:rFonts w:ascii="Tahoma" w:hAnsi="Tahoma" w:cs="Tahoma"/>
          <w:sz w:val="24"/>
          <w:szCs w:val="24"/>
        </w:rPr>
        <w:t xml:space="preserve">dvice about repairs and maintenance stayed mainly the same over the two years, with a slight increase during the last quarter of 2020/21. Similarly, </w:t>
      </w:r>
      <w:r w:rsidR="3DC7A32B" w:rsidRPr="2E32ED18">
        <w:rPr>
          <w:rFonts w:ascii="Tahoma" w:hAnsi="Tahoma" w:cs="Tahoma"/>
          <w:sz w:val="24"/>
          <w:szCs w:val="24"/>
        </w:rPr>
        <w:t xml:space="preserve">the proportion of </w:t>
      </w:r>
      <w:r w:rsidR="002818D4" w:rsidRPr="2E32ED18">
        <w:rPr>
          <w:rFonts w:ascii="Tahoma" w:hAnsi="Tahoma" w:cs="Tahoma"/>
          <w:sz w:val="24"/>
          <w:szCs w:val="24"/>
        </w:rPr>
        <w:t>advice on suitability of accommodation remained largely the same over the two years</w:t>
      </w:r>
      <w:r w:rsidR="004F27A9" w:rsidRPr="2E32ED18">
        <w:rPr>
          <w:rFonts w:ascii="Tahoma" w:hAnsi="Tahoma" w:cs="Tahoma"/>
          <w:sz w:val="24"/>
          <w:szCs w:val="24"/>
        </w:rPr>
        <w:t xml:space="preserve">, peaking at 11% of all RSL advice in Q4 </w:t>
      </w:r>
      <w:r w:rsidR="00F60D22" w:rsidRPr="2E32ED18">
        <w:rPr>
          <w:rFonts w:ascii="Tahoma" w:hAnsi="Tahoma" w:cs="Tahoma"/>
          <w:sz w:val="24"/>
          <w:szCs w:val="24"/>
        </w:rPr>
        <w:t>of both years</w:t>
      </w:r>
      <w:r w:rsidR="002818D4" w:rsidRPr="2E32ED18">
        <w:rPr>
          <w:rFonts w:ascii="Tahoma" w:hAnsi="Tahoma" w:cs="Tahoma"/>
          <w:sz w:val="24"/>
          <w:szCs w:val="24"/>
        </w:rPr>
        <w:t xml:space="preserve">. However, </w:t>
      </w:r>
      <w:r w:rsidR="555A9994" w:rsidRPr="2E32ED18">
        <w:rPr>
          <w:rFonts w:ascii="Tahoma" w:hAnsi="Tahoma" w:cs="Tahoma"/>
          <w:sz w:val="24"/>
          <w:szCs w:val="24"/>
        </w:rPr>
        <w:t xml:space="preserve">the proportion of </w:t>
      </w:r>
      <w:r w:rsidR="002818D4" w:rsidRPr="2E32ED18">
        <w:rPr>
          <w:rFonts w:ascii="Tahoma" w:hAnsi="Tahoma" w:cs="Tahoma"/>
          <w:sz w:val="24"/>
          <w:szCs w:val="24"/>
        </w:rPr>
        <w:t>advice about complaints in this sector rose substantially</w:t>
      </w:r>
      <w:r w:rsidR="0090546E" w:rsidRPr="2E32ED18">
        <w:rPr>
          <w:rFonts w:ascii="Tahoma" w:hAnsi="Tahoma" w:cs="Tahoma"/>
          <w:sz w:val="24"/>
          <w:szCs w:val="24"/>
        </w:rPr>
        <w:t xml:space="preserve"> in 2020/21</w:t>
      </w:r>
      <w:r w:rsidR="002818D4" w:rsidRPr="2E32ED18">
        <w:rPr>
          <w:rFonts w:ascii="Tahoma" w:hAnsi="Tahoma" w:cs="Tahoma"/>
          <w:sz w:val="24"/>
          <w:szCs w:val="24"/>
        </w:rPr>
        <w:t xml:space="preserve">, peaking at 19% in Q2 of 2020/21, 7 percentage points higher than the same period in 2019/20. </w:t>
      </w:r>
    </w:p>
    <w:p w14:paraId="1659F4B0" w14:textId="3269B228" w:rsidR="005D1682" w:rsidRDefault="005D1682" w:rsidP="005D1682">
      <w:pPr>
        <w:rPr>
          <w:rFonts w:ascii="Tahoma" w:hAnsi="Tahoma" w:cs="Tahoma"/>
          <w:bCs/>
          <w:sz w:val="24"/>
          <w:szCs w:val="24"/>
        </w:rPr>
      </w:pPr>
      <w:r>
        <w:rPr>
          <w:rFonts w:ascii="Tahoma" w:hAnsi="Tahoma" w:cs="Tahoma"/>
          <w:bCs/>
          <w:sz w:val="24"/>
          <w:szCs w:val="24"/>
        </w:rPr>
        <w:t xml:space="preserve">The relative stability of RSL housing advice is interesting to consider alongside changes in advice in other tenures. Like </w:t>
      </w:r>
      <w:r w:rsidR="008F0289">
        <w:rPr>
          <w:rFonts w:ascii="Tahoma" w:hAnsi="Tahoma" w:cs="Tahoma"/>
          <w:bCs/>
          <w:sz w:val="24"/>
          <w:szCs w:val="24"/>
        </w:rPr>
        <w:t xml:space="preserve">local authority housing, the proportion of advice about rents </w:t>
      </w:r>
      <w:r w:rsidR="00711BE8">
        <w:rPr>
          <w:rFonts w:ascii="Tahoma" w:hAnsi="Tahoma" w:cs="Tahoma"/>
          <w:bCs/>
          <w:sz w:val="24"/>
          <w:szCs w:val="24"/>
        </w:rPr>
        <w:t>fell, but not quite as steeply.</w:t>
      </w:r>
      <w:r w:rsidR="00C0399C">
        <w:rPr>
          <w:rFonts w:ascii="Tahoma" w:hAnsi="Tahoma" w:cs="Tahoma"/>
          <w:bCs/>
          <w:sz w:val="24"/>
          <w:szCs w:val="24"/>
        </w:rPr>
        <w:t xml:space="preserve"> The relative stability of repairs and maintenance advice as a proportion of all advice suggests that RSLs have managed to stay on top of</w:t>
      </w:r>
      <w:r w:rsidR="002F2C13">
        <w:rPr>
          <w:rFonts w:ascii="Tahoma" w:hAnsi="Tahoma" w:cs="Tahoma"/>
          <w:bCs/>
          <w:sz w:val="24"/>
          <w:szCs w:val="24"/>
        </w:rPr>
        <w:t xml:space="preserve"> issues of this kind. However, the notable rise in complaints </w:t>
      </w:r>
      <w:r w:rsidR="009B4174">
        <w:rPr>
          <w:rFonts w:ascii="Tahoma" w:hAnsi="Tahoma" w:cs="Tahoma"/>
          <w:bCs/>
          <w:sz w:val="24"/>
          <w:szCs w:val="24"/>
        </w:rPr>
        <w:t xml:space="preserve">in </w:t>
      </w:r>
      <w:r w:rsidR="003A33F4">
        <w:rPr>
          <w:rFonts w:ascii="Tahoma" w:hAnsi="Tahoma" w:cs="Tahoma"/>
          <w:bCs/>
          <w:sz w:val="24"/>
          <w:szCs w:val="24"/>
        </w:rPr>
        <w:t xml:space="preserve">the first half of </w:t>
      </w:r>
      <w:r w:rsidR="009B4174">
        <w:rPr>
          <w:rFonts w:ascii="Tahoma" w:hAnsi="Tahoma" w:cs="Tahoma"/>
          <w:bCs/>
          <w:sz w:val="24"/>
          <w:szCs w:val="24"/>
        </w:rPr>
        <w:t xml:space="preserve">2020/21 </w:t>
      </w:r>
      <w:r w:rsidR="002F2C13">
        <w:rPr>
          <w:rFonts w:ascii="Tahoma" w:hAnsi="Tahoma" w:cs="Tahoma"/>
          <w:bCs/>
          <w:sz w:val="24"/>
          <w:szCs w:val="24"/>
        </w:rPr>
        <w:t xml:space="preserve">suggests that RSL tenants </w:t>
      </w:r>
      <w:r w:rsidR="00AF2A33">
        <w:rPr>
          <w:rFonts w:ascii="Tahoma" w:hAnsi="Tahoma" w:cs="Tahoma"/>
          <w:bCs/>
          <w:sz w:val="24"/>
          <w:szCs w:val="24"/>
        </w:rPr>
        <w:t>are still facing problems with their housing</w:t>
      </w:r>
      <w:r w:rsidR="00241B47">
        <w:rPr>
          <w:rFonts w:ascii="Tahoma" w:hAnsi="Tahoma" w:cs="Tahoma"/>
          <w:bCs/>
          <w:sz w:val="24"/>
          <w:szCs w:val="24"/>
        </w:rPr>
        <w:t>. T</w:t>
      </w:r>
      <w:r w:rsidR="00574276">
        <w:rPr>
          <w:rFonts w:ascii="Tahoma" w:hAnsi="Tahoma" w:cs="Tahoma"/>
          <w:bCs/>
          <w:sz w:val="24"/>
          <w:szCs w:val="24"/>
        </w:rPr>
        <w:t>he</w:t>
      </w:r>
      <w:r w:rsidR="00241B47">
        <w:rPr>
          <w:rFonts w:ascii="Tahoma" w:hAnsi="Tahoma" w:cs="Tahoma"/>
          <w:bCs/>
          <w:sz w:val="24"/>
          <w:szCs w:val="24"/>
        </w:rPr>
        <w:t xml:space="preserve"> increase</w:t>
      </w:r>
      <w:r w:rsidR="00574276">
        <w:rPr>
          <w:rFonts w:ascii="Tahoma" w:hAnsi="Tahoma" w:cs="Tahoma"/>
          <w:bCs/>
          <w:sz w:val="24"/>
          <w:szCs w:val="24"/>
        </w:rPr>
        <w:t xml:space="preserve"> in the proportion of this advice type may also be a side-effect of </w:t>
      </w:r>
      <w:r w:rsidR="00241B47">
        <w:rPr>
          <w:rFonts w:ascii="Tahoma" w:hAnsi="Tahoma" w:cs="Tahoma"/>
          <w:bCs/>
          <w:sz w:val="24"/>
          <w:szCs w:val="24"/>
        </w:rPr>
        <w:t>many organisations having to close their doors and cease offering face to face appointments, meaning potentially longer times for issues to get resolved.</w:t>
      </w:r>
    </w:p>
    <w:p w14:paraId="363F97B5" w14:textId="796C224B" w:rsidR="000804C4" w:rsidRDefault="000804C4" w:rsidP="005D1682">
      <w:pPr>
        <w:rPr>
          <w:rFonts w:ascii="Tahoma" w:hAnsi="Tahoma" w:cs="Tahoma"/>
          <w:bCs/>
          <w:sz w:val="24"/>
          <w:szCs w:val="24"/>
        </w:rPr>
      </w:pPr>
    </w:p>
    <w:p w14:paraId="446C94D3" w14:textId="08F66F8B" w:rsidR="000804C4" w:rsidRDefault="000804C4" w:rsidP="005D1682">
      <w:pPr>
        <w:rPr>
          <w:rFonts w:ascii="Tahoma" w:hAnsi="Tahoma" w:cs="Tahoma"/>
          <w:bCs/>
          <w:sz w:val="24"/>
          <w:szCs w:val="24"/>
        </w:rPr>
      </w:pPr>
      <w:r w:rsidRPr="00390172">
        <w:rPr>
          <w:rFonts w:ascii="Tahoma" w:hAnsi="Tahoma" w:cs="Tahoma"/>
          <w:b/>
          <w:sz w:val="24"/>
          <w:szCs w:val="24"/>
        </w:rPr>
        <w:t>Citizens Alert:</w:t>
      </w:r>
      <w:r>
        <w:rPr>
          <w:rFonts w:ascii="Tahoma" w:hAnsi="Tahoma" w:cs="Tahoma"/>
          <w:bCs/>
          <w:sz w:val="24"/>
          <w:szCs w:val="24"/>
        </w:rPr>
        <w:t xml:space="preserve"> A North of Scotland CAB reports of a client who had moved into a housing association property which ha</w:t>
      </w:r>
      <w:r w:rsidR="002A341A">
        <w:rPr>
          <w:rFonts w:ascii="Tahoma" w:hAnsi="Tahoma" w:cs="Tahoma"/>
          <w:bCs/>
          <w:sz w:val="24"/>
          <w:szCs w:val="24"/>
        </w:rPr>
        <w:t xml:space="preserve">d black mould </w:t>
      </w:r>
      <w:r w:rsidR="00DD7B87">
        <w:rPr>
          <w:rFonts w:ascii="Tahoma" w:hAnsi="Tahoma" w:cs="Tahoma"/>
          <w:bCs/>
          <w:sz w:val="24"/>
          <w:szCs w:val="24"/>
        </w:rPr>
        <w:t>covering all of the ceilings</w:t>
      </w:r>
      <w:r w:rsidR="00977C91">
        <w:rPr>
          <w:rFonts w:ascii="Tahoma" w:hAnsi="Tahoma" w:cs="Tahoma"/>
          <w:bCs/>
          <w:sz w:val="24"/>
          <w:szCs w:val="24"/>
        </w:rPr>
        <w:t xml:space="preserve"> in the property</w:t>
      </w:r>
      <w:r w:rsidR="00E31A27">
        <w:rPr>
          <w:rFonts w:ascii="Tahoma" w:hAnsi="Tahoma" w:cs="Tahoma"/>
          <w:bCs/>
          <w:sz w:val="24"/>
          <w:szCs w:val="24"/>
        </w:rPr>
        <w:t>.</w:t>
      </w:r>
      <w:r w:rsidR="00835129">
        <w:rPr>
          <w:rFonts w:ascii="Tahoma" w:hAnsi="Tahoma" w:cs="Tahoma"/>
          <w:bCs/>
          <w:sz w:val="24"/>
          <w:szCs w:val="24"/>
        </w:rPr>
        <w:t xml:space="preserve"> The client was pregnant at the time and had young children. </w:t>
      </w:r>
      <w:r w:rsidR="00977C91">
        <w:rPr>
          <w:rFonts w:ascii="Tahoma" w:hAnsi="Tahoma" w:cs="Tahoma"/>
          <w:bCs/>
          <w:sz w:val="24"/>
          <w:szCs w:val="24"/>
        </w:rPr>
        <w:t>The mould is damaging the client’s belongings and is around her children’s beds</w:t>
      </w:r>
      <w:r w:rsidR="00CA1104">
        <w:rPr>
          <w:rFonts w:ascii="Tahoma" w:hAnsi="Tahoma" w:cs="Tahoma"/>
          <w:bCs/>
          <w:sz w:val="24"/>
          <w:szCs w:val="24"/>
        </w:rPr>
        <w:t>.</w:t>
      </w:r>
      <w:r w:rsidR="00977C91">
        <w:rPr>
          <w:rFonts w:ascii="Tahoma" w:hAnsi="Tahoma" w:cs="Tahoma"/>
          <w:bCs/>
          <w:sz w:val="24"/>
          <w:szCs w:val="24"/>
        </w:rPr>
        <w:t xml:space="preserve"> </w:t>
      </w:r>
      <w:r w:rsidR="00B4223B">
        <w:rPr>
          <w:rFonts w:ascii="Tahoma" w:hAnsi="Tahoma" w:cs="Tahoma"/>
          <w:bCs/>
          <w:sz w:val="24"/>
          <w:szCs w:val="24"/>
        </w:rPr>
        <w:t xml:space="preserve">The client has made several attempts to contact </w:t>
      </w:r>
      <w:r w:rsidR="006D1B92">
        <w:rPr>
          <w:rFonts w:ascii="Tahoma" w:hAnsi="Tahoma" w:cs="Tahoma"/>
          <w:bCs/>
          <w:sz w:val="24"/>
          <w:szCs w:val="24"/>
        </w:rPr>
        <w:t>the housing associatio</w:t>
      </w:r>
      <w:r w:rsidR="005E1E2A">
        <w:rPr>
          <w:rFonts w:ascii="Tahoma" w:hAnsi="Tahoma" w:cs="Tahoma"/>
          <w:bCs/>
          <w:sz w:val="24"/>
          <w:szCs w:val="24"/>
        </w:rPr>
        <w:t>n</w:t>
      </w:r>
      <w:r w:rsidR="00390172">
        <w:rPr>
          <w:rFonts w:ascii="Tahoma" w:hAnsi="Tahoma" w:cs="Tahoma"/>
          <w:bCs/>
          <w:sz w:val="24"/>
          <w:szCs w:val="24"/>
        </w:rPr>
        <w:t xml:space="preserve"> about the mould</w:t>
      </w:r>
      <w:r w:rsidR="005E1E2A">
        <w:rPr>
          <w:rFonts w:ascii="Tahoma" w:hAnsi="Tahoma" w:cs="Tahoma"/>
          <w:bCs/>
          <w:sz w:val="24"/>
          <w:szCs w:val="24"/>
        </w:rPr>
        <w:t xml:space="preserve"> </w:t>
      </w:r>
      <w:r w:rsidR="005E1E2A">
        <w:rPr>
          <w:rFonts w:ascii="Tahoma" w:hAnsi="Tahoma" w:cs="Tahoma"/>
          <w:bCs/>
          <w:sz w:val="24"/>
          <w:szCs w:val="24"/>
        </w:rPr>
        <w:lastRenderedPageBreak/>
        <w:t>to little response</w:t>
      </w:r>
      <w:r w:rsidR="002F06BF">
        <w:rPr>
          <w:rFonts w:ascii="Tahoma" w:hAnsi="Tahoma" w:cs="Tahoma"/>
          <w:bCs/>
          <w:sz w:val="24"/>
          <w:szCs w:val="24"/>
        </w:rPr>
        <w:t xml:space="preserve"> and has made a formal complaint</w:t>
      </w:r>
      <w:r w:rsidR="00781B5D">
        <w:rPr>
          <w:rFonts w:ascii="Tahoma" w:hAnsi="Tahoma" w:cs="Tahoma"/>
          <w:bCs/>
          <w:sz w:val="24"/>
          <w:szCs w:val="24"/>
        </w:rPr>
        <w:t xml:space="preserve">. This is having a severe impact on the client’s </w:t>
      </w:r>
      <w:r w:rsidR="005E1E2A">
        <w:rPr>
          <w:rFonts w:ascii="Tahoma" w:hAnsi="Tahoma" w:cs="Tahoma"/>
          <w:bCs/>
          <w:sz w:val="24"/>
          <w:szCs w:val="24"/>
        </w:rPr>
        <w:t>existing mental health issues and she is extremely concerned about the impact on her children’s health.</w:t>
      </w:r>
    </w:p>
    <w:p w14:paraId="181F1E64" w14:textId="77777777" w:rsidR="000804C4" w:rsidRPr="007C664C" w:rsidRDefault="000804C4" w:rsidP="005D1682">
      <w:pPr>
        <w:rPr>
          <w:rFonts w:ascii="Tahoma" w:hAnsi="Tahoma" w:cs="Tahoma"/>
          <w:bCs/>
          <w:sz w:val="24"/>
          <w:szCs w:val="24"/>
        </w:rPr>
      </w:pPr>
    </w:p>
    <w:p w14:paraId="0C67F0EC" w14:textId="77777777" w:rsidR="00241B47" w:rsidRDefault="00241B47" w:rsidP="00241B47">
      <w:pPr>
        <w:rPr>
          <w:rFonts w:ascii="Tahoma" w:hAnsi="Tahoma" w:cs="Tahoma"/>
          <w:sz w:val="24"/>
          <w:szCs w:val="24"/>
        </w:rPr>
      </w:pPr>
      <w:r w:rsidRPr="00AB4E6C">
        <w:rPr>
          <w:rFonts w:ascii="Tahoma" w:hAnsi="Tahoma" w:cs="Tahoma"/>
          <w:b/>
          <w:color w:val="4472C4" w:themeColor="accent1"/>
          <w:sz w:val="24"/>
          <w:szCs w:val="24"/>
        </w:rPr>
        <w:t>CAS recommends:</w:t>
      </w:r>
      <w:r>
        <w:rPr>
          <w:rFonts w:ascii="Tahoma" w:hAnsi="Tahoma" w:cs="Tahoma"/>
          <w:b/>
          <w:sz w:val="24"/>
          <w:szCs w:val="24"/>
        </w:rPr>
        <w:t xml:space="preserve"> </w:t>
      </w:r>
    </w:p>
    <w:p w14:paraId="00534627" w14:textId="5112BB55" w:rsidR="00980DC2" w:rsidRPr="00615E04" w:rsidRDefault="00241B47">
      <w:pPr>
        <w:rPr>
          <w:rFonts w:ascii="Tahoma" w:hAnsi="Tahoma" w:cs="Tahoma"/>
          <w:bCs/>
          <w:sz w:val="24"/>
          <w:szCs w:val="24"/>
        </w:rPr>
      </w:pPr>
      <w:r w:rsidRPr="00615E04">
        <w:rPr>
          <w:rFonts w:ascii="Tahoma" w:hAnsi="Tahoma" w:cs="Tahoma"/>
          <w:bCs/>
          <w:sz w:val="24"/>
          <w:szCs w:val="24"/>
        </w:rPr>
        <w:t>RSLs and tenants should work together to quickly resolve outstanding complaints</w:t>
      </w:r>
      <w:r w:rsidR="00615E04">
        <w:rPr>
          <w:rFonts w:ascii="Tahoma" w:hAnsi="Tahoma" w:cs="Tahoma"/>
          <w:bCs/>
          <w:sz w:val="24"/>
          <w:szCs w:val="24"/>
        </w:rPr>
        <w:t xml:space="preserve">, </w:t>
      </w:r>
      <w:r w:rsidR="54F84D0F" w:rsidRPr="49FFB752">
        <w:rPr>
          <w:rFonts w:ascii="Tahoma" w:hAnsi="Tahoma" w:cs="Tahoma"/>
          <w:sz w:val="24"/>
          <w:szCs w:val="24"/>
        </w:rPr>
        <w:t>to prevent fur</w:t>
      </w:r>
      <w:r w:rsidR="61CEBDB5" w:rsidRPr="49FFB752">
        <w:rPr>
          <w:rFonts w:ascii="Tahoma" w:hAnsi="Tahoma" w:cs="Tahoma"/>
          <w:sz w:val="24"/>
          <w:szCs w:val="24"/>
        </w:rPr>
        <w:t xml:space="preserve">ther breakdown in relationships </w:t>
      </w:r>
      <w:r w:rsidR="41BF2416" w:rsidRPr="4F26003C">
        <w:rPr>
          <w:rFonts w:ascii="Tahoma" w:hAnsi="Tahoma" w:cs="Tahoma"/>
          <w:sz w:val="24"/>
          <w:szCs w:val="24"/>
        </w:rPr>
        <w:t>and/</w:t>
      </w:r>
      <w:r w:rsidR="61CEBDB5" w:rsidRPr="49FFB752">
        <w:rPr>
          <w:rFonts w:ascii="Tahoma" w:hAnsi="Tahoma" w:cs="Tahoma"/>
          <w:sz w:val="24"/>
          <w:szCs w:val="24"/>
        </w:rPr>
        <w:t xml:space="preserve">or </w:t>
      </w:r>
      <w:r w:rsidR="5B759E33" w:rsidRPr="11EC7659">
        <w:rPr>
          <w:rFonts w:ascii="Tahoma" w:hAnsi="Tahoma" w:cs="Tahoma"/>
          <w:sz w:val="24"/>
          <w:szCs w:val="24"/>
        </w:rPr>
        <w:t>repairs</w:t>
      </w:r>
      <w:r w:rsidR="61CEBDB5" w:rsidRPr="49FFB752">
        <w:rPr>
          <w:rFonts w:ascii="Tahoma" w:hAnsi="Tahoma" w:cs="Tahoma"/>
          <w:sz w:val="24"/>
          <w:szCs w:val="24"/>
        </w:rPr>
        <w:t xml:space="preserve"> issues</w:t>
      </w:r>
      <w:r w:rsidR="5B759E33" w:rsidRPr="11EC7659">
        <w:rPr>
          <w:rFonts w:ascii="Tahoma" w:hAnsi="Tahoma" w:cs="Tahoma"/>
          <w:sz w:val="24"/>
          <w:szCs w:val="24"/>
        </w:rPr>
        <w:t xml:space="preserve"> worsening</w:t>
      </w:r>
      <w:r w:rsidR="61CEBDB5" w:rsidRPr="11EC7659">
        <w:rPr>
          <w:rFonts w:ascii="Tahoma" w:hAnsi="Tahoma" w:cs="Tahoma"/>
          <w:sz w:val="24"/>
          <w:szCs w:val="24"/>
        </w:rPr>
        <w:t>.</w:t>
      </w:r>
      <w:r w:rsidR="61CEBDB5" w:rsidRPr="49FFB752">
        <w:rPr>
          <w:rFonts w:ascii="Tahoma" w:hAnsi="Tahoma" w:cs="Tahoma"/>
          <w:sz w:val="24"/>
          <w:szCs w:val="24"/>
        </w:rPr>
        <w:t xml:space="preserve"> T</w:t>
      </w:r>
      <w:r w:rsidR="00615E04" w:rsidRPr="49FFB752">
        <w:rPr>
          <w:rFonts w:ascii="Tahoma" w:hAnsi="Tahoma" w:cs="Tahoma"/>
          <w:sz w:val="24"/>
          <w:szCs w:val="24"/>
        </w:rPr>
        <w:t>enants</w:t>
      </w:r>
      <w:r w:rsidR="00615E04">
        <w:rPr>
          <w:rFonts w:ascii="Tahoma" w:hAnsi="Tahoma" w:cs="Tahoma"/>
          <w:bCs/>
          <w:sz w:val="24"/>
          <w:szCs w:val="24"/>
        </w:rPr>
        <w:t xml:space="preserve"> have the right to live safely and comfortably in their homes.</w:t>
      </w:r>
    </w:p>
    <w:p w14:paraId="25A08007" w14:textId="44B0DB5B" w:rsidR="00241B47" w:rsidRDefault="00241B47">
      <w:pPr>
        <w:rPr>
          <w:b/>
        </w:rPr>
      </w:pPr>
    </w:p>
    <w:p w14:paraId="4FDBF99D" w14:textId="7C369EAE" w:rsidR="00241B47" w:rsidRDefault="00241B47">
      <w:pPr>
        <w:rPr>
          <w:b/>
        </w:rPr>
      </w:pPr>
    </w:p>
    <w:p w14:paraId="5672755E" w14:textId="000D703E" w:rsidR="00A17F03" w:rsidRDefault="00A17F03">
      <w:pPr>
        <w:rPr>
          <w:b/>
        </w:rPr>
      </w:pPr>
    </w:p>
    <w:p w14:paraId="1E97ACE1" w14:textId="3BCFE99D" w:rsidR="00A17F03" w:rsidRDefault="00A17F03">
      <w:pPr>
        <w:rPr>
          <w:b/>
        </w:rPr>
      </w:pPr>
    </w:p>
    <w:p w14:paraId="32420427" w14:textId="29A61706" w:rsidR="00A17F03" w:rsidRDefault="00A17F03">
      <w:pPr>
        <w:rPr>
          <w:b/>
        </w:rPr>
      </w:pPr>
    </w:p>
    <w:p w14:paraId="63CE0643" w14:textId="71D3244F" w:rsidR="00A17F03" w:rsidRDefault="00A17F03">
      <w:pPr>
        <w:rPr>
          <w:b/>
        </w:rPr>
      </w:pPr>
    </w:p>
    <w:p w14:paraId="4C24E116" w14:textId="3DDBE288" w:rsidR="00A17F03" w:rsidRDefault="00A17F03">
      <w:pPr>
        <w:rPr>
          <w:b/>
        </w:rPr>
      </w:pPr>
    </w:p>
    <w:p w14:paraId="378E5792" w14:textId="6AC23F8C" w:rsidR="00A17F03" w:rsidRDefault="00A17F03">
      <w:pPr>
        <w:rPr>
          <w:b/>
        </w:rPr>
      </w:pPr>
    </w:p>
    <w:p w14:paraId="390CD0F3" w14:textId="3BB8D41E" w:rsidR="00A17F03" w:rsidRDefault="00A17F03">
      <w:pPr>
        <w:rPr>
          <w:b/>
        </w:rPr>
      </w:pPr>
    </w:p>
    <w:p w14:paraId="3CAE5492" w14:textId="06EF3E6F" w:rsidR="00A17F03" w:rsidRDefault="00A17F03">
      <w:pPr>
        <w:rPr>
          <w:b/>
        </w:rPr>
      </w:pPr>
    </w:p>
    <w:p w14:paraId="233AD030" w14:textId="22518D31" w:rsidR="00A17F03" w:rsidRDefault="00A17F03">
      <w:pPr>
        <w:rPr>
          <w:b/>
        </w:rPr>
      </w:pPr>
    </w:p>
    <w:p w14:paraId="2DA25CC8" w14:textId="48CE1F2D" w:rsidR="00A17F03" w:rsidRDefault="00A17F03">
      <w:pPr>
        <w:rPr>
          <w:b/>
        </w:rPr>
      </w:pPr>
    </w:p>
    <w:p w14:paraId="268ED5DE" w14:textId="50AF7B4A" w:rsidR="00A17F03" w:rsidRDefault="00A17F03">
      <w:pPr>
        <w:rPr>
          <w:b/>
        </w:rPr>
      </w:pPr>
    </w:p>
    <w:p w14:paraId="7719B752" w14:textId="666A021C" w:rsidR="00A17F03" w:rsidRDefault="00A17F03">
      <w:pPr>
        <w:rPr>
          <w:b/>
        </w:rPr>
      </w:pPr>
    </w:p>
    <w:p w14:paraId="0BDFE230" w14:textId="26F50223" w:rsidR="00801993" w:rsidRDefault="00801993">
      <w:pPr>
        <w:rPr>
          <w:b/>
        </w:rPr>
      </w:pPr>
    </w:p>
    <w:p w14:paraId="205FC31F" w14:textId="14CD3DE7" w:rsidR="00801993" w:rsidRDefault="00801993">
      <w:pPr>
        <w:rPr>
          <w:b/>
        </w:rPr>
      </w:pPr>
    </w:p>
    <w:p w14:paraId="20CC7EE4" w14:textId="602CBE9A" w:rsidR="00801993" w:rsidRDefault="00801993">
      <w:pPr>
        <w:rPr>
          <w:b/>
        </w:rPr>
      </w:pPr>
    </w:p>
    <w:p w14:paraId="2F99089E" w14:textId="1CEC53BE" w:rsidR="00801993" w:rsidRDefault="00801993">
      <w:pPr>
        <w:rPr>
          <w:b/>
        </w:rPr>
      </w:pPr>
    </w:p>
    <w:p w14:paraId="3155584C" w14:textId="32291EE5" w:rsidR="00801993" w:rsidRDefault="00801993">
      <w:pPr>
        <w:rPr>
          <w:b/>
        </w:rPr>
      </w:pPr>
    </w:p>
    <w:p w14:paraId="6E931560" w14:textId="1BA7EA14" w:rsidR="00801993" w:rsidRDefault="00801993">
      <w:pPr>
        <w:rPr>
          <w:b/>
        </w:rPr>
      </w:pPr>
    </w:p>
    <w:p w14:paraId="13CBD1D1" w14:textId="0D3CFC85" w:rsidR="00801993" w:rsidRDefault="00801993">
      <w:pPr>
        <w:rPr>
          <w:b/>
        </w:rPr>
      </w:pPr>
    </w:p>
    <w:p w14:paraId="77B039A1" w14:textId="3E9FC1FC" w:rsidR="00801993" w:rsidRDefault="00801993">
      <w:pPr>
        <w:rPr>
          <w:b/>
        </w:rPr>
      </w:pPr>
    </w:p>
    <w:p w14:paraId="11E1BAFD" w14:textId="1BCF389B" w:rsidR="00801993" w:rsidRDefault="00801993">
      <w:pPr>
        <w:rPr>
          <w:b/>
        </w:rPr>
      </w:pPr>
    </w:p>
    <w:p w14:paraId="77BB4ABA" w14:textId="77777777" w:rsidR="00801993" w:rsidRDefault="00801993">
      <w:pPr>
        <w:rPr>
          <w:b/>
        </w:rPr>
      </w:pPr>
    </w:p>
    <w:p w14:paraId="0F8CB6B6" w14:textId="3C3A0F0E" w:rsidR="00F856C9" w:rsidRPr="00F856C9" w:rsidRDefault="003744D1" w:rsidP="00F856C9">
      <w:pPr>
        <w:rPr>
          <w:rFonts w:ascii="Tahoma" w:hAnsi="Tahoma" w:cs="Tahoma"/>
          <w:b/>
          <w:sz w:val="24"/>
          <w:szCs w:val="24"/>
        </w:rPr>
      </w:pPr>
      <w:r w:rsidRPr="003744D1">
        <w:rPr>
          <w:rFonts w:ascii="Tahoma" w:hAnsi="Tahoma" w:cs="Tahoma"/>
          <w:b/>
          <w:sz w:val="24"/>
          <w:szCs w:val="24"/>
        </w:rPr>
        <w:lastRenderedPageBreak/>
        <w:t>Advice on homelessness</w:t>
      </w:r>
    </w:p>
    <w:p w14:paraId="559230A1" w14:textId="12C5CA30" w:rsidR="103DD505" w:rsidRDefault="103DD505" w:rsidP="63CE0CCF">
      <w:pPr>
        <w:rPr>
          <w:rFonts w:ascii="Tahoma" w:hAnsi="Tahoma" w:cs="Tahoma"/>
          <w:b/>
          <w:bCs/>
          <w:sz w:val="24"/>
          <w:szCs w:val="24"/>
        </w:rPr>
      </w:pPr>
      <w:r w:rsidRPr="63CE0CCF">
        <w:rPr>
          <w:rFonts w:ascii="Tahoma" w:hAnsi="Tahoma" w:cs="Tahoma"/>
          <w:sz w:val="24"/>
          <w:szCs w:val="24"/>
        </w:rPr>
        <w:t xml:space="preserve">Chart </w:t>
      </w:r>
      <w:r w:rsidR="73005182" w:rsidRPr="206871EF">
        <w:rPr>
          <w:rFonts w:ascii="Tahoma" w:hAnsi="Tahoma" w:cs="Tahoma"/>
          <w:sz w:val="24"/>
          <w:szCs w:val="24"/>
        </w:rPr>
        <w:t>7</w:t>
      </w:r>
      <w:r w:rsidRPr="072022D7">
        <w:rPr>
          <w:rFonts w:ascii="Tahoma" w:hAnsi="Tahoma" w:cs="Tahoma"/>
          <w:sz w:val="24"/>
          <w:szCs w:val="24"/>
        </w:rPr>
        <w:t xml:space="preserve">. </w:t>
      </w:r>
      <w:r w:rsidR="43F50BFE" w:rsidRPr="06FAAD39">
        <w:rPr>
          <w:rFonts w:ascii="Tahoma" w:hAnsi="Tahoma" w:cs="Tahoma"/>
          <w:sz w:val="24"/>
          <w:szCs w:val="24"/>
        </w:rPr>
        <w:t xml:space="preserve">Different types of homelessness advice as a </w:t>
      </w:r>
      <w:r w:rsidR="43F50BFE" w:rsidRPr="42754EFD">
        <w:rPr>
          <w:rFonts w:ascii="Tahoma" w:hAnsi="Tahoma" w:cs="Tahoma"/>
          <w:sz w:val="24"/>
          <w:szCs w:val="24"/>
        </w:rPr>
        <w:t>proportion of all homelessness advice</w:t>
      </w:r>
    </w:p>
    <w:p w14:paraId="4B4B0EE0" w14:textId="505AFC41" w:rsidR="003744D1" w:rsidRDefault="003744D1">
      <w:pPr>
        <w:rPr>
          <w:rFonts w:ascii="Tahoma" w:hAnsi="Tahoma" w:cs="Tahoma"/>
          <w:b/>
          <w:sz w:val="24"/>
          <w:szCs w:val="24"/>
        </w:rPr>
      </w:pPr>
    </w:p>
    <w:p w14:paraId="64AF8814" w14:textId="77182DF7" w:rsidR="002069DA" w:rsidRDefault="0098224E">
      <w:pPr>
        <w:rPr>
          <w:rFonts w:ascii="Tahoma" w:hAnsi="Tahoma" w:cs="Tahoma"/>
          <w:sz w:val="24"/>
          <w:szCs w:val="24"/>
        </w:rPr>
      </w:pPr>
      <w:r>
        <w:rPr>
          <w:noProof/>
        </w:rPr>
        <w:drawing>
          <wp:inline distT="0" distB="0" distL="0" distR="0" wp14:anchorId="75A86579" wp14:editId="2DC7743C">
            <wp:extent cx="5731510" cy="2685480"/>
            <wp:effectExtent l="0" t="0" r="2540" b="635"/>
            <wp:docPr id="14" name="Chart 14">
              <a:extLst xmlns:a="http://schemas.openxmlformats.org/drawingml/2006/main">
                <a:ext uri="{FF2B5EF4-FFF2-40B4-BE49-F238E27FC236}">
                  <a16:creationId xmlns:a16="http://schemas.microsoft.com/office/drawing/2014/main" id="{0752DA30-4634-469C-99AC-40CDE816A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47D8F5" w14:textId="04D63131" w:rsidR="004E0254" w:rsidRDefault="004E0254"/>
    <w:p w14:paraId="58475A7B" w14:textId="6E3C95B3" w:rsidR="003744D1" w:rsidRDefault="008A5EC3">
      <w:pPr>
        <w:rPr>
          <w:rFonts w:ascii="Tahoma" w:hAnsi="Tahoma" w:cs="Tahoma"/>
          <w:sz w:val="24"/>
          <w:szCs w:val="24"/>
        </w:rPr>
      </w:pPr>
      <w:r w:rsidRPr="2E32ED18">
        <w:rPr>
          <w:rFonts w:ascii="Tahoma" w:hAnsi="Tahoma" w:cs="Tahoma"/>
          <w:sz w:val="24"/>
          <w:szCs w:val="24"/>
        </w:rPr>
        <w:t>Taking a deeper dive</w:t>
      </w:r>
      <w:r w:rsidR="007B5E5B" w:rsidRPr="2E32ED18">
        <w:rPr>
          <w:rFonts w:ascii="Tahoma" w:hAnsi="Tahoma" w:cs="Tahoma"/>
          <w:sz w:val="24"/>
          <w:szCs w:val="24"/>
        </w:rPr>
        <w:t xml:space="preserve"> into all homelessness</w:t>
      </w:r>
      <w:r w:rsidR="002A0D17" w:rsidRPr="2E32ED18">
        <w:rPr>
          <w:rFonts w:ascii="Tahoma" w:hAnsi="Tahoma" w:cs="Tahoma"/>
          <w:sz w:val="24"/>
          <w:szCs w:val="24"/>
        </w:rPr>
        <w:t xml:space="preserve"> advice codes </w:t>
      </w:r>
      <w:r w:rsidR="00025CFA" w:rsidRPr="2E32ED18">
        <w:rPr>
          <w:rFonts w:ascii="Tahoma" w:hAnsi="Tahoma" w:cs="Tahoma"/>
          <w:sz w:val="24"/>
          <w:szCs w:val="24"/>
        </w:rPr>
        <w:t>uncovers</w:t>
      </w:r>
      <w:r w:rsidRPr="2E32ED18">
        <w:rPr>
          <w:rFonts w:ascii="Tahoma" w:hAnsi="Tahoma" w:cs="Tahoma"/>
          <w:sz w:val="24"/>
          <w:szCs w:val="24"/>
        </w:rPr>
        <w:t xml:space="preserve"> some of the </w:t>
      </w:r>
      <w:r w:rsidR="520CF12F" w:rsidRPr="2E32ED18">
        <w:rPr>
          <w:rFonts w:ascii="Tahoma" w:hAnsi="Tahoma" w:cs="Tahoma"/>
          <w:sz w:val="24"/>
          <w:szCs w:val="24"/>
        </w:rPr>
        <w:t>largest</w:t>
      </w:r>
      <w:r w:rsidRPr="2E32ED18">
        <w:rPr>
          <w:rFonts w:ascii="Tahoma" w:hAnsi="Tahoma" w:cs="Tahoma"/>
          <w:sz w:val="24"/>
          <w:szCs w:val="24"/>
        </w:rPr>
        <w:t xml:space="preserve"> data shifts between the two years and suggests </w:t>
      </w:r>
      <w:r w:rsidR="76DF9484" w:rsidRPr="2E32ED18">
        <w:rPr>
          <w:rFonts w:ascii="Tahoma" w:hAnsi="Tahoma" w:cs="Tahoma"/>
          <w:sz w:val="24"/>
          <w:szCs w:val="24"/>
        </w:rPr>
        <w:t>important</w:t>
      </w:r>
      <w:r w:rsidRPr="2E32ED18">
        <w:rPr>
          <w:rFonts w:ascii="Tahoma" w:hAnsi="Tahoma" w:cs="Tahoma"/>
          <w:sz w:val="24"/>
          <w:szCs w:val="24"/>
        </w:rPr>
        <w:t xml:space="preserve"> changes in how people are experiencing homelessness and the advice they require. </w:t>
      </w:r>
      <w:r w:rsidR="00F22804" w:rsidRPr="2E32ED18">
        <w:rPr>
          <w:rFonts w:ascii="Tahoma" w:hAnsi="Tahoma" w:cs="Tahoma"/>
          <w:sz w:val="24"/>
          <w:szCs w:val="24"/>
        </w:rPr>
        <w:t xml:space="preserve">As before, threatened homelessness </w:t>
      </w:r>
      <w:r w:rsidR="18CD6E7C" w:rsidRPr="2E32ED18">
        <w:rPr>
          <w:rFonts w:ascii="Tahoma" w:hAnsi="Tahoma" w:cs="Tahoma"/>
          <w:sz w:val="24"/>
          <w:szCs w:val="24"/>
        </w:rPr>
        <w:t xml:space="preserve">advice </w:t>
      </w:r>
      <w:r w:rsidR="00F22804" w:rsidRPr="2E32ED18">
        <w:rPr>
          <w:rFonts w:ascii="Tahoma" w:hAnsi="Tahoma" w:cs="Tahoma"/>
          <w:sz w:val="24"/>
          <w:szCs w:val="24"/>
        </w:rPr>
        <w:t>decreased significantly between 2019/20 and 2020</w:t>
      </w:r>
      <w:r w:rsidR="00E2748D" w:rsidRPr="2E32ED18">
        <w:rPr>
          <w:rFonts w:ascii="Tahoma" w:hAnsi="Tahoma" w:cs="Tahoma"/>
          <w:sz w:val="24"/>
          <w:szCs w:val="24"/>
        </w:rPr>
        <w:t>/21</w:t>
      </w:r>
      <w:r w:rsidR="0E37460F" w:rsidRPr="2E32ED18">
        <w:rPr>
          <w:rFonts w:ascii="Tahoma" w:hAnsi="Tahoma" w:cs="Tahoma"/>
          <w:sz w:val="24"/>
          <w:szCs w:val="24"/>
        </w:rPr>
        <w:t xml:space="preserve"> as a proportion of all homelessness related advice</w:t>
      </w:r>
      <w:r w:rsidR="00E2748D" w:rsidRPr="2E32ED18">
        <w:rPr>
          <w:rFonts w:ascii="Tahoma" w:hAnsi="Tahoma" w:cs="Tahoma"/>
          <w:sz w:val="24"/>
          <w:szCs w:val="24"/>
        </w:rPr>
        <w:t xml:space="preserve">, and was overtaken by advice on homelessness </w:t>
      </w:r>
      <w:r w:rsidR="00CC7134" w:rsidRPr="2E32ED18">
        <w:rPr>
          <w:rFonts w:ascii="Tahoma" w:hAnsi="Tahoma" w:cs="Tahoma"/>
          <w:sz w:val="24"/>
          <w:szCs w:val="24"/>
        </w:rPr>
        <w:t>in regards to</w:t>
      </w:r>
      <w:r w:rsidR="00E2748D" w:rsidRPr="2E32ED18">
        <w:rPr>
          <w:rFonts w:ascii="Tahoma" w:hAnsi="Tahoma" w:cs="Tahoma"/>
          <w:sz w:val="24"/>
          <w:szCs w:val="24"/>
        </w:rPr>
        <w:t xml:space="preserve"> local authority service</w:t>
      </w:r>
      <w:r w:rsidR="009B3BCD" w:rsidRPr="2E32ED18">
        <w:rPr>
          <w:rFonts w:ascii="Tahoma" w:hAnsi="Tahoma" w:cs="Tahoma"/>
          <w:sz w:val="24"/>
          <w:szCs w:val="24"/>
        </w:rPr>
        <w:t xml:space="preserve"> </w:t>
      </w:r>
      <w:r w:rsidR="00CC7134" w:rsidRPr="2E32ED18">
        <w:rPr>
          <w:rFonts w:ascii="Tahoma" w:hAnsi="Tahoma" w:cs="Tahoma"/>
          <w:sz w:val="24"/>
          <w:szCs w:val="24"/>
        </w:rPr>
        <w:t>in the last three quarters of 2020/21.</w:t>
      </w:r>
      <w:r w:rsidR="0067597D" w:rsidRPr="2E32ED18">
        <w:rPr>
          <w:rFonts w:ascii="Tahoma" w:hAnsi="Tahoma" w:cs="Tahoma"/>
          <w:sz w:val="24"/>
          <w:szCs w:val="24"/>
        </w:rPr>
        <w:t xml:space="preserve"> Concerningly, </w:t>
      </w:r>
      <w:r w:rsidR="51319178" w:rsidRPr="2E32ED18">
        <w:rPr>
          <w:rFonts w:ascii="Tahoma" w:hAnsi="Tahoma" w:cs="Tahoma"/>
          <w:sz w:val="24"/>
          <w:szCs w:val="24"/>
        </w:rPr>
        <w:t xml:space="preserve">the proportion of </w:t>
      </w:r>
      <w:r w:rsidR="0067597D" w:rsidRPr="2E32ED18">
        <w:rPr>
          <w:rFonts w:ascii="Tahoma" w:hAnsi="Tahoma" w:cs="Tahoma"/>
          <w:sz w:val="24"/>
          <w:szCs w:val="24"/>
        </w:rPr>
        <w:t xml:space="preserve">advice on </w:t>
      </w:r>
      <w:r w:rsidR="005E6A58" w:rsidRPr="2E32ED18">
        <w:rPr>
          <w:rFonts w:ascii="Tahoma" w:hAnsi="Tahoma" w:cs="Tahoma"/>
          <w:sz w:val="24"/>
          <w:szCs w:val="24"/>
        </w:rPr>
        <w:t>actual homelessness also increased to a peak of 27% in Q2 of 2020/21,</w:t>
      </w:r>
      <w:r w:rsidR="001D2FD5" w:rsidRPr="2E32ED18">
        <w:rPr>
          <w:rFonts w:ascii="Tahoma" w:hAnsi="Tahoma" w:cs="Tahoma"/>
          <w:sz w:val="24"/>
          <w:szCs w:val="24"/>
        </w:rPr>
        <w:t xml:space="preserve"> compared to 21% </w:t>
      </w:r>
      <w:r w:rsidR="001A1062" w:rsidRPr="2E32ED18">
        <w:rPr>
          <w:rFonts w:ascii="Tahoma" w:hAnsi="Tahoma" w:cs="Tahoma"/>
          <w:sz w:val="24"/>
          <w:szCs w:val="24"/>
        </w:rPr>
        <w:t>in the same period the year before</w:t>
      </w:r>
      <w:r w:rsidR="004149F6" w:rsidRPr="2E32ED18">
        <w:rPr>
          <w:rFonts w:ascii="Tahoma" w:hAnsi="Tahoma" w:cs="Tahoma"/>
          <w:sz w:val="24"/>
          <w:szCs w:val="24"/>
        </w:rPr>
        <w:t>, and remained above pre-pandemic levels as 2020/21 came to a close.</w:t>
      </w:r>
    </w:p>
    <w:p w14:paraId="66CA467E" w14:textId="5D145812" w:rsidR="00AF1D90" w:rsidRDefault="00AF1D90" w:rsidP="00AF1D90">
      <w:pPr>
        <w:rPr>
          <w:rFonts w:ascii="Tahoma" w:hAnsi="Tahoma" w:cs="Tahoma"/>
          <w:sz w:val="24"/>
          <w:szCs w:val="24"/>
        </w:rPr>
      </w:pPr>
      <w:r w:rsidRPr="2E32ED18">
        <w:rPr>
          <w:rFonts w:ascii="Tahoma" w:hAnsi="Tahoma" w:cs="Tahoma"/>
          <w:sz w:val="24"/>
          <w:szCs w:val="24"/>
        </w:rPr>
        <w:t xml:space="preserve">Taken separately from other homelessness advice codes, the downturn in threatened homelessness advice shows an optimistic picture. It also gives the impression that attempts by the Scottish Government to keep people safely at home during the pandemic were successful. However, when taken together with other homelessness advice codes – actual homelessness and local authority service – quite a different picture emerges. The introduction of protections for renters and the accommodation of rough sleepers was hoped to lead to a downturn in these codes but the opposite has occurred. The actual homelessness advice code might also reflect people who were already homeless before the pandemic and who may have faced further delays in being allocated permanent housing due to COVID.  The rise in advice being sought about local authority services could be linked to a temporary drop in service as councils reorganised their workforce at the beginning of the pandemic to work from home, but this may also indicate a more long-term problem </w:t>
      </w:r>
      <w:r w:rsidRPr="2E32ED18">
        <w:rPr>
          <w:rFonts w:ascii="Tahoma" w:hAnsi="Tahoma" w:cs="Tahoma"/>
          <w:sz w:val="24"/>
          <w:szCs w:val="24"/>
        </w:rPr>
        <w:lastRenderedPageBreak/>
        <w:t>if people facing homelessness are continually unable to access the services they require. Given that levels of advice about local authority services were still elevated at the end of 2020/21, local authorities should review their services to ensure they are still accessible and of a high standard.</w:t>
      </w:r>
    </w:p>
    <w:p w14:paraId="78FF378C" w14:textId="77777777" w:rsidR="00AF1D90" w:rsidRPr="00576A7D" w:rsidRDefault="00AF1D90" w:rsidP="00AF1D90">
      <w:pPr>
        <w:rPr>
          <w:rFonts w:ascii="Tahoma" w:hAnsi="Tahoma" w:cs="Tahoma"/>
          <w:sz w:val="24"/>
          <w:szCs w:val="24"/>
        </w:rPr>
      </w:pPr>
      <w:r w:rsidRPr="00FA68DC">
        <w:rPr>
          <w:rFonts w:ascii="Tahoma" w:hAnsi="Tahoma" w:cs="Tahoma"/>
          <w:b/>
          <w:sz w:val="24"/>
          <w:szCs w:val="24"/>
        </w:rPr>
        <w:t>Citizens Alert</w:t>
      </w:r>
      <w:r>
        <w:rPr>
          <w:rFonts w:ascii="Tahoma" w:hAnsi="Tahoma" w:cs="Tahoma"/>
          <w:b/>
          <w:sz w:val="24"/>
          <w:szCs w:val="24"/>
        </w:rPr>
        <w:t xml:space="preserve">: </w:t>
      </w:r>
      <w:r>
        <w:rPr>
          <w:rFonts w:ascii="Tahoma" w:hAnsi="Tahoma" w:cs="Tahoma"/>
          <w:sz w:val="24"/>
          <w:szCs w:val="24"/>
        </w:rPr>
        <w:t>A West of Scotland CAB reports of client who was due to move into a Housing First tenancy after being homeless. Due to scaling back of services due to COVID, the client no longer has a dedicated key worker to help make arrangements for moving in and this has led to significant delays and mix-ups, causing distress to a vulnerable client.</w:t>
      </w:r>
    </w:p>
    <w:p w14:paraId="67C4FF66" w14:textId="77777777" w:rsidR="00AF1D90" w:rsidRDefault="00AF1D90" w:rsidP="00AF1D90">
      <w:pPr>
        <w:rPr>
          <w:rFonts w:ascii="Tahoma" w:hAnsi="Tahoma" w:cs="Tahoma"/>
          <w:sz w:val="24"/>
          <w:szCs w:val="24"/>
        </w:rPr>
      </w:pPr>
      <w:r w:rsidRPr="00AB4E6C">
        <w:rPr>
          <w:rFonts w:ascii="Tahoma" w:hAnsi="Tahoma" w:cs="Tahoma"/>
          <w:b/>
          <w:color w:val="4472C4" w:themeColor="accent1"/>
          <w:sz w:val="24"/>
          <w:szCs w:val="24"/>
        </w:rPr>
        <w:t>CAS recommends:</w:t>
      </w:r>
      <w:r>
        <w:rPr>
          <w:rFonts w:ascii="Tahoma" w:hAnsi="Tahoma" w:cs="Tahoma"/>
          <w:b/>
          <w:color w:val="4472C4" w:themeColor="accent1"/>
          <w:sz w:val="24"/>
          <w:szCs w:val="24"/>
        </w:rPr>
        <w:t xml:space="preserve"> </w:t>
      </w:r>
    </w:p>
    <w:p w14:paraId="0B86D5A2" w14:textId="21E067AA" w:rsidR="00AF1D90" w:rsidRPr="002D189D" w:rsidRDefault="00AF1D90" w:rsidP="00AF1D90">
      <w:pPr>
        <w:rPr>
          <w:rFonts w:ascii="Tahoma" w:hAnsi="Tahoma" w:cs="Tahoma"/>
          <w:sz w:val="24"/>
          <w:szCs w:val="24"/>
        </w:rPr>
      </w:pPr>
      <w:r w:rsidRPr="0049181A">
        <w:rPr>
          <w:rFonts w:ascii="Tahoma" w:hAnsi="Tahoma" w:cs="Tahoma"/>
          <w:sz w:val="24"/>
          <w:szCs w:val="24"/>
        </w:rPr>
        <w:t xml:space="preserve">The Scottish Government should work with local authorities and advice services to assess the number of people facing homelessness, understand any additional barriers to support during the pandemic and seek to overcome them. </w:t>
      </w:r>
      <w:r w:rsidRPr="0049181A">
        <w:rPr>
          <w:rFonts w:ascii="Tahoma" w:hAnsi="Tahoma" w:cs="Tahoma"/>
          <w:sz w:val="24"/>
          <w:szCs w:val="24"/>
        </w:rPr>
        <w:annotationRef/>
      </w:r>
    </w:p>
    <w:p w14:paraId="4EBE58B4" w14:textId="77777777" w:rsidR="00AF1D90" w:rsidRPr="0049181A" w:rsidRDefault="00AF1D90" w:rsidP="00AF1D90">
      <w:pPr>
        <w:rPr>
          <w:rFonts w:ascii="Tahoma" w:hAnsi="Tahoma" w:cs="Tahoma"/>
          <w:sz w:val="24"/>
          <w:szCs w:val="24"/>
        </w:rPr>
      </w:pPr>
      <w:r w:rsidRPr="0049181A">
        <w:rPr>
          <w:rFonts w:ascii="Tahoma" w:hAnsi="Tahoma" w:cs="Tahoma"/>
          <w:sz w:val="24"/>
          <w:szCs w:val="24"/>
        </w:rPr>
        <w:t xml:space="preserve">Second recommendation: In order to prevent homelessness in future, SG should ensure there is no gap in protections between now and when the PARs are made permanent, and commit to continuing to make eviction grounds discretionary on a permanent basis. </w:t>
      </w:r>
    </w:p>
    <w:p w14:paraId="2C6A56C4" w14:textId="6C51DFD3" w:rsidR="009E3D28" w:rsidRDefault="009E3D28">
      <w:pPr>
        <w:rPr>
          <w:rFonts w:ascii="Tahoma" w:hAnsi="Tahoma" w:cs="Tahoma"/>
          <w:b/>
          <w:sz w:val="24"/>
          <w:szCs w:val="24"/>
        </w:rPr>
      </w:pPr>
    </w:p>
    <w:p w14:paraId="1C048E73" w14:textId="75D9A1B9" w:rsidR="00AF1D90" w:rsidRDefault="00AF1D90">
      <w:pPr>
        <w:rPr>
          <w:rFonts w:ascii="Tahoma" w:hAnsi="Tahoma" w:cs="Tahoma"/>
          <w:b/>
          <w:sz w:val="24"/>
          <w:szCs w:val="24"/>
        </w:rPr>
      </w:pPr>
    </w:p>
    <w:p w14:paraId="391E2F24" w14:textId="107668D2" w:rsidR="00AF1D90" w:rsidRDefault="00AF1D90">
      <w:pPr>
        <w:rPr>
          <w:rFonts w:ascii="Tahoma" w:hAnsi="Tahoma" w:cs="Tahoma"/>
          <w:b/>
          <w:sz w:val="24"/>
          <w:szCs w:val="24"/>
        </w:rPr>
      </w:pPr>
    </w:p>
    <w:p w14:paraId="299FFFC1" w14:textId="7A23632E" w:rsidR="003B293F" w:rsidRDefault="003B293F">
      <w:pPr>
        <w:rPr>
          <w:rFonts w:ascii="Tahoma" w:hAnsi="Tahoma" w:cs="Tahoma"/>
          <w:b/>
          <w:sz w:val="24"/>
          <w:szCs w:val="24"/>
        </w:rPr>
      </w:pPr>
    </w:p>
    <w:p w14:paraId="3AA0D445" w14:textId="77777777" w:rsidR="003B293F" w:rsidRDefault="003B293F">
      <w:pPr>
        <w:rPr>
          <w:rFonts w:ascii="Tahoma" w:hAnsi="Tahoma" w:cs="Tahoma"/>
          <w:b/>
          <w:sz w:val="24"/>
          <w:szCs w:val="24"/>
        </w:rPr>
      </w:pPr>
    </w:p>
    <w:p w14:paraId="59676AA9" w14:textId="6F73C3C3" w:rsidR="00AF1D90" w:rsidRDefault="00AF1D90">
      <w:pPr>
        <w:rPr>
          <w:rFonts w:ascii="Tahoma" w:hAnsi="Tahoma" w:cs="Tahoma"/>
          <w:b/>
          <w:sz w:val="24"/>
          <w:szCs w:val="24"/>
        </w:rPr>
      </w:pPr>
    </w:p>
    <w:p w14:paraId="4729FF09" w14:textId="0AEA3597" w:rsidR="00AF1D90" w:rsidRDefault="00AF1D90">
      <w:pPr>
        <w:rPr>
          <w:rFonts w:ascii="Tahoma" w:hAnsi="Tahoma" w:cs="Tahoma"/>
          <w:b/>
          <w:sz w:val="24"/>
          <w:szCs w:val="24"/>
        </w:rPr>
      </w:pPr>
    </w:p>
    <w:p w14:paraId="5616A357" w14:textId="3D85375E" w:rsidR="00146D06" w:rsidRDefault="00146D06">
      <w:pPr>
        <w:rPr>
          <w:rFonts w:ascii="Tahoma" w:hAnsi="Tahoma" w:cs="Tahoma"/>
          <w:b/>
          <w:sz w:val="24"/>
          <w:szCs w:val="24"/>
        </w:rPr>
      </w:pPr>
    </w:p>
    <w:p w14:paraId="3AA9E72B" w14:textId="672EB927" w:rsidR="00146D06" w:rsidRDefault="00146D06">
      <w:pPr>
        <w:rPr>
          <w:rFonts w:ascii="Tahoma" w:hAnsi="Tahoma" w:cs="Tahoma"/>
          <w:b/>
          <w:sz w:val="24"/>
          <w:szCs w:val="24"/>
        </w:rPr>
      </w:pPr>
    </w:p>
    <w:p w14:paraId="0682097A" w14:textId="45B24DE9" w:rsidR="00801993" w:rsidRDefault="00801993">
      <w:pPr>
        <w:rPr>
          <w:rFonts w:ascii="Tahoma" w:hAnsi="Tahoma" w:cs="Tahoma"/>
          <w:b/>
          <w:sz w:val="24"/>
          <w:szCs w:val="24"/>
        </w:rPr>
      </w:pPr>
    </w:p>
    <w:p w14:paraId="6463AD26" w14:textId="5EF66BE9" w:rsidR="00801993" w:rsidRDefault="00801993">
      <w:pPr>
        <w:rPr>
          <w:rFonts w:ascii="Tahoma" w:hAnsi="Tahoma" w:cs="Tahoma"/>
          <w:b/>
          <w:sz w:val="24"/>
          <w:szCs w:val="24"/>
        </w:rPr>
      </w:pPr>
    </w:p>
    <w:p w14:paraId="2E96B312" w14:textId="666082D1" w:rsidR="00801993" w:rsidRDefault="00801993">
      <w:pPr>
        <w:rPr>
          <w:rFonts w:ascii="Tahoma" w:hAnsi="Tahoma" w:cs="Tahoma"/>
          <w:b/>
          <w:sz w:val="24"/>
          <w:szCs w:val="24"/>
        </w:rPr>
      </w:pPr>
    </w:p>
    <w:p w14:paraId="1F877E7E" w14:textId="2C0C7733" w:rsidR="00801993" w:rsidRDefault="00801993">
      <w:pPr>
        <w:rPr>
          <w:rFonts w:ascii="Tahoma" w:hAnsi="Tahoma" w:cs="Tahoma"/>
          <w:b/>
          <w:sz w:val="24"/>
          <w:szCs w:val="24"/>
        </w:rPr>
      </w:pPr>
    </w:p>
    <w:p w14:paraId="5DA5DFA1" w14:textId="77777777" w:rsidR="00801993" w:rsidRDefault="00801993">
      <w:pPr>
        <w:rPr>
          <w:rFonts w:ascii="Tahoma" w:hAnsi="Tahoma" w:cs="Tahoma"/>
          <w:b/>
          <w:sz w:val="24"/>
          <w:szCs w:val="24"/>
        </w:rPr>
      </w:pPr>
    </w:p>
    <w:p w14:paraId="5460DBEA" w14:textId="77777777" w:rsidR="00AF1D90" w:rsidRDefault="00AF1D90">
      <w:pPr>
        <w:rPr>
          <w:rFonts w:ascii="Tahoma" w:hAnsi="Tahoma" w:cs="Tahoma"/>
          <w:b/>
          <w:sz w:val="24"/>
          <w:szCs w:val="24"/>
        </w:rPr>
      </w:pPr>
    </w:p>
    <w:p w14:paraId="49F18B47" w14:textId="77777777" w:rsidR="0090546E" w:rsidRDefault="0090546E">
      <w:pPr>
        <w:rPr>
          <w:rFonts w:ascii="Tahoma" w:hAnsi="Tahoma" w:cs="Tahoma"/>
          <w:b/>
          <w:sz w:val="24"/>
          <w:szCs w:val="24"/>
        </w:rPr>
      </w:pPr>
    </w:p>
    <w:p w14:paraId="6C9965C5" w14:textId="7EED889D" w:rsidR="00B152FC" w:rsidRPr="00B152FC" w:rsidRDefault="00A13D57" w:rsidP="00B152FC">
      <w:pPr>
        <w:rPr>
          <w:rFonts w:ascii="Tahoma" w:hAnsi="Tahoma" w:cs="Tahoma"/>
          <w:b/>
          <w:sz w:val="24"/>
          <w:szCs w:val="24"/>
        </w:rPr>
      </w:pPr>
      <w:r w:rsidRPr="003744D1">
        <w:rPr>
          <w:rFonts w:ascii="Tahoma" w:hAnsi="Tahoma" w:cs="Tahoma"/>
          <w:b/>
          <w:sz w:val="24"/>
          <w:szCs w:val="24"/>
        </w:rPr>
        <w:t>Advice on housing cost arrears</w:t>
      </w:r>
    </w:p>
    <w:p w14:paraId="2D3D3E4D" w14:textId="2CEAB672" w:rsidR="6431B1E1" w:rsidRDefault="6431B1E1" w:rsidP="1C72F561">
      <w:pPr>
        <w:rPr>
          <w:rFonts w:ascii="Tahoma" w:hAnsi="Tahoma" w:cs="Tahoma"/>
          <w:b/>
          <w:bCs/>
          <w:sz w:val="24"/>
          <w:szCs w:val="24"/>
        </w:rPr>
      </w:pPr>
      <w:r w:rsidRPr="1C72F561">
        <w:rPr>
          <w:rFonts w:ascii="Tahoma" w:hAnsi="Tahoma" w:cs="Tahoma"/>
          <w:sz w:val="24"/>
          <w:szCs w:val="24"/>
        </w:rPr>
        <w:t>Chart 8</w:t>
      </w:r>
      <w:r w:rsidRPr="54B68DDB">
        <w:rPr>
          <w:rFonts w:ascii="Tahoma" w:hAnsi="Tahoma" w:cs="Tahoma"/>
          <w:sz w:val="24"/>
          <w:szCs w:val="24"/>
        </w:rPr>
        <w:t xml:space="preserve">. </w:t>
      </w:r>
      <w:r w:rsidR="6AB31958" w:rsidRPr="2C269A24">
        <w:rPr>
          <w:rFonts w:ascii="Tahoma" w:hAnsi="Tahoma" w:cs="Tahoma"/>
          <w:sz w:val="24"/>
          <w:szCs w:val="24"/>
        </w:rPr>
        <w:t xml:space="preserve">Advice on arrears in different </w:t>
      </w:r>
      <w:r w:rsidR="6AB31958" w:rsidRPr="218B5D73">
        <w:rPr>
          <w:rFonts w:ascii="Tahoma" w:hAnsi="Tahoma" w:cs="Tahoma"/>
          <w:sz w:val="24"/>
          <w:szCs w:val="24"/>
        </w:rPr>
        <w:t xml:space="preserve">housing sectors as a </w:t>
      </w:r>
      <w:r w:rsidR="6AB31958" w:rsidRPr="44DD737A">
        <w:rPr>
          <w:rFonts w:ascii="Tahoma" w:hAnsi="Tahoma" w:cs="Tahoma"/>
          <w:sz w:val="24"/>
          <w:szCs w:val="24"/>
        </w:rPr>
        <w:t xml:space="preserve">proportion of all housing cost </w:t>
      </w:r>
      <w:r w:rsidR="6AB31958" w:rsidRPr="3A4236C9">
        <w:rPr>
          <w:rFonts w:ascii="Tahoma" w:hAnsi="Tahoma" w:cs="Tahoma"/>
          <w:sz w:val="24"/>
          <w:szCs w:val="24"/>
        </w:rPr>
        <w:t>arrears advice</w:t>
      </w:r>
    </w:p>
    <w:p w14:paraId="27BDDC5A" w14:textId="148C033F" w:rsidR="00A13D57" w:rsidRDefault="00A13D57">
      <w:pPr>
        <w:rPr>
          <w:b/>
        </w:rPr>
      </w:pPr>
    </w:p>
    <w:p w14:paraId="013313A8" w14:textId="1F85BE71" w:rsidR="003F1364" w:rsidRDefault="003F1364">
      <w:pPr>
        <w:rPr>
          <w:b/>
        </w:rPr>
      </w:pPr>
      <w:r>
        <w:rPr>
          <w:noProof/>
        </w:rPr>
        <w:lastRenderedPageBreak/>
        <w:drawing>
          <wp:inline distT="0" distB="0" distL="0" distR="0" wp14:anchorId="68E7C78C" wp14:editId="530B7B78">
            <wp:extent cx="5731510" cy="2685480"/>
            <wp:effectExtent l="0" t="0" r="2540" b="635"/>
            <wp:docPr id="16" name="Chart 16">
              <a:extLst xmlns:a="http://schemas.openxmlformats.org/drawingml/2006/main">
                <a:ext uri="{FF2B5EF4-FFF2-40B4-BE49-F238E27FC236}">
                  <a16:creationId xmlns:a16="http://schemas.microsoft.com/office/drawing/2014/main" id="{FE9AB25D-5BBD-4FB3-8E62-354766E14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CEAFCB" w14:textId="363588CC" w:rsidR="003744D1" w:rsidRDefault="003744D1" w:rsidP="003744D1"/>
    <w:p w14:paraId="5913697D" w14:textId="7732F89B" w:rsidR="006531EF" w:rsidRPr="00D74B05" w:rsidRDefault="000D4BA5" w:rsidP="003744D1">
      <w:pPr>
        <w:rPr>
          <w:rFonts w:ascii="Tahoma" w:hAnsi="Tahoma" w:cs="Tahoma"/>
          <w:sz w:val="24"/>
          <w:szCs w:val="24"/>
        </w:rPr>
      </w:pPr>
      <w:r w:rsidRPr="2E32ED18">
        <w:rPr>
          <w:rFonts w:ascii="Tahoma" w:hAnsi="Tahoma" w:cs="Tahoma"/>
          <w:sz w:val="24"/>
          <w:szCs w:val="24"/>
        </w:rPr>
        <w:t>The past year has brought some</w:t>
      </w:r>
      <w:r w:rsidR="00D74B05" w:rsidRPr="2E32ED18">
        <w:rPr>
          <w:rFonts w:ascii="Tahoma" w:hAnsi="Tahoma" w:cs="Tahoma"/>
          <w:sz w:val="24"/>
          <w:szCs w:val="24"/>
        </w:rPr>
        <w:t xml:space="preserve"> noteworthy</w:t>
      </w:r>
      <w:r w:rsidRPr="2E32ED18">
        <w:rPr>
          <w:rFonts w:ascii="Tahoma" w:hAnsi="Tahoma" w:cs="Tahoma"/>
          <w:sz w:val="24"/>
          <w:szCs w:val="24"/>
        </w:rPr>
        <w:t xml:space="preserve"> shifts in the advice sought about housing cost arrears, with </w:t>
      </w:r>
      <w:r w:rsidR="00EC5A34" w:rsidRPr="2E32ED18">
        <w:rPr>
          <w:rFonts w:ascii="Tahoma" w:hAnsi="Tahoma" w:cs="Tahoma"/>
          <w:sz w:val="24"/>
          <w:szCs w:val="24"/>
        </w:rPr>
        <w:t>both increases and decreases across tenures.</w:t>
      </w:r>
      <w:r w:rsidR="00D5683C" w:rsidRPr="2E32ED18">
        <w:rPr>
          <w:rFonts w:ascii="Tahoma" w:hAnsi="Tahoma" w:cs="Tahoma"/>
          <w:sz w:val="24"/>
          <w:szCs w:val="24"/>
        </w:rPr>
        <w:t xml:space="preserve"> </w:t>
      </w:r>
      <w:r w:rsidR="63BB4E53" w:rsidRPr="2E32ED18">
        <w:rPr>
          <w:rFonts w:ascii="Tahoma" w:hAnsi="Tahoma" w:cs="Tahoma"/>
          <w:sz w:val="24"/>
          <w:szCs w:val="24"/>
        </w:rPr>
        <w:t xml:space="preserve">The proportion of </w:t>
      </w:r>
      <w:r w:rsidR="68D29FB4" w:rsidRPr="2E32ED18">
        <w:rPr>
          <w:rFonts w:ascii="Tahoma" w:hAnsi="Tahoma" w:cs="Tahoma"/>
          <w:sz w:val="24"/>
          <w:szCs w:val="24"/>
        </w:rPr>
        <w:t>l</w:t>
      </w:r>
      <w:r w:rsidR="00D5683C" w:rsidRPr="2E32ED18">
        <w:rPr>
          <w:rFonts w:ascii="Tahoma" w:hAnsi="Tahoma" w:cs="Tahoma"/>
          <w:sz w:val="24"/>
          <w:szCs w:val="24"/>
        </w:rPr>
        <w:t>ocal authority arrears</w:t>
      </w:r>
      <w:r w:rsidR="5D54B7EF" w:rsidRPr="2E32ED18">
        <w:rPr>
          <w:rFonts w:ascii="Tahoma" w:hAnsi="Tahoma" w:cs="Tahoma"/>
          <w:sz w:val="24"/>
          <w:szCs w:val="24"/>
        </w:rPr>
        <w:t xml:space="preserve"> advice</w:t>
      </w:r>
      <w:r w:rsidR="00D5683C" w:rsidRPr="2E32ED18">
        <w:rPr>
          <w:rFonts w:ascii="Tahoma" w:hAnsi="Tahoma" w:cs="Tahoma"/>
          <w:sz w:val="24"/>
          <w:szCs w:val="24"/>
        </w:rPr>
        <w:t>, whil</w:t>
      </w:r>
      <w:r w:rsidR="004149F6" w:rsidRPr="2E32ED18">
        <w:rPr>
          <w:rFonts w:ascii="Tahoma" w:hAnsi="Tahoma" w:cs="Tahoma"/>
          <w:sz w:val="24"/>
          <w:szCs w:val="24"/>
        </w:rPr>
        <w:t xml:space="preserve">st </w:t>
      </w:r>
      <w:r w:rsidR="00D5683C" w:rsidRPr="2E32ED18">
        <w:rPr>
          <w:rFonts w:ascii="Tahoma" w:hAnsi="Tahoma" w:cs="Tahoma"/>
          <w:sz w:val="24"/>
          <w:szCs w:val="24"/>
        </w:rPr>
        <w:t>remaining th</w:t>
      </w:r>
      <w:r w:rsidR="00BB34DF" w:rsidRPr="2E32ED18">
        <w:rPr>
          <w:rFonts w:ascii="Tahoma" w:hAnsi="Tahoma" w:cs="Tahoma"/>
          <w:sz w:val="24"/>
          <w:szCs w:val="24"/>
        </w:rPr>
        <w:t xml:space="preserve">e </w:t>
      </w:r>
      <w:r w:rsidR="3DD6C2B8" w:rsidRPr="2E32ED18">
        <w:rPr>
          <w:rFonts w:ascii="Tahoma" w:hAnsi="Tahoma" w:cs="Tahoma"/>
          <w:sz w:val="24"/>
          <w:szCs w:val="24"/>
        </w:rPr>
        <w:t>most common housing</w:t>
      </w:r>
      <w:r w:rsidR="00BB34DF" w:rsidRPr="2E32ED18">
        <w:rPr>
          <w:rFonts w:ascii="Tahoma" w:hAnsi="Tahoma" w:cs="Tahoma"/>
          <w:sz w:val="24"/>
          <w:szCs w:val="24"/>
        </w:rPr>
        <w:t xml:space="preserve"> arrears advice </w:t>
      </w:r>
      <w:r w:rsidR="57BE8EFF" w:rsidRPr="2E32ED18">
        <w:rPr>
          <w:rFonts w:ascii="Tahoma" w:hAnsi="Tahoma" w:cs="Tahoma"/>
          <w:sz w:val="24"/>
          <w:szCs w:val="24"/>
        </w:rPr>
        <w:t>type</w:t>
      </w:r>
      <w:r w:rsidR="00BB34DF" w:rsidRPr="2E32ED18">
        <w:rPr>
          <w:rFonts w:ascii="Tahoma" w:hAnsi="Tahoma" w:cs="Tahoma"/>
          <w:sz w:val="24"/>
          <w:szCs w:val="24"/>
        </w:rPr>
        <w:t>, decrea</w:t>
      </w:r>
      <w:r w:rsidR="000A1A36" w:rsidRPr="2E32ED18">
        <w:rPr>
          <w:rFonts w:ascii="Tahoma" w:hAnsi="Tahoma" w:cs="Tahoma"/>
          <w:sz w:val="24"/>
          <w:szCs w:val="24"/>
        </w:rPr>
        <w:t>sed most</w:t>
      </w:r>
      <w:r w:rsidR="00BE276E" w:rsidRPr="2E32ED18">
        <w:rPr>
          <w:rFonts w:ascii="Tahoma" w:hAnsi="Tahoma" w:cs="Tahoma"/>
          <w:sz w:val="24"/>
          <w:szCs w:val="24"/>
        </w:rPr>
        <w:t xml:space="preserve">. </w:t>
      </w:r>
      <w:r w:rsidR="4F56BB92" w:rsidRPr="2E32ED18">
        <w:rPr>
          <w:rFonts w:ascii="Tahoma" w:hAnsi="Tahoma" w:cs="Tahoma"/>
          <w:sz w:val="24"/>
          <w:szCs w:val="24"/>
        </w:rPr>
        <w:t>It</w:t>
      </w:r>
      <w:r w:rsidR="00544DA4" w:rsidRPr="2E32ED18">
        <w:rPr>
          <w:rFonts w:ascii="Tahoma" w:hAnsi="Tahoma" w:cs="Tahoma"/>
          <w:sz w:val="24"/>
          <w:szCs w:val="24"/>
        </w:rPr>
        <w:t xml:space="preserve"> dropped from an average of 49% in 2019/20 to an average of </w:t>
      </w:r>
      <w:r w:rsidR="00165CC8" w:rsidRPr="2E32ED18">
        <w:rPr>
          <w:rFonts w:ascii="Tahoma" w:hAnsi="Tahoma" w:cs="Tahoma"/>
          <w:sz w:val="24"/>
          <w:szCs w:val="24"/>
        </w:rPr>
        <w:t>42% in 2020/21. The most dramatic quarterly comparison was</w:t>
      </w:r>
      <w:r w:rsidR="00D74B05" w:rsidRPr="2E32ED18">
        <w:rPr>
          <w:rFonts w:ascii="Tahoma" w:hAnsi="Tahoma" w:cs="Tahoma"/>
          <w:sz w:val="24"/>
          <w:szCs w:val="24"/>
        </w:rPr>
        <w:t xml:space="preserve"> in</w:t>
      </w:r>
      <w:r w:rsidR="00165CC8" w:rsidRPr="2E32ED18">
        <w:rPr>
          <w:rFonts w:ascii="Tahoma" w:hAnsi="Tahoma" w:cs="Tahoma"/>
          <w:sz w:val="24"/>
          <w:szCs w:val="24"/>
        </w:rPr>
        <w:t xml:space="preserve"> </w:t>
      </w:r>
      <w:r w:rsidR="00BE276E" w:rsidRPr="2E32ED18">
        <w:rPr>
          <w:rFonts w:ascii="Tahoma" w:hAnsi="Tahoma" w:cs="Tahoma"/>
          <w:sz w:val="24"/>
          <w:szCs w:val="24"/>
        </w:rPr>
        <w:t xml:space="preserve">Q2 of </w:t>
      </w:r>
      <w:r w:rsidR="00CD71A5" w:rsidRPr="2E32ED18">
        <w:rPr>
          <w:rFonts w:ascii="Tahoma" w:hAnsi="Tahoma" w:cs="Tahoma"/>
          <w:sz w:val="24"/>
          <w:szCs w:val="24"/>
        </w:rPr>
        <w:t>both years, where the proportion dropped from 50% to 40%.</w:t>
      </w:r>
    </w:p>
    <w:p w14:paraId="6ACCBF32" w14:textId="79785056" w:rsidR="003744D1" w:rsidRDefault="00EB1863">
      <w:pPr>
        <w:rPr>
          <w:rFonts w:ascii="Tahoma" w:hAnsi="Tahoma" w:cs="Tahoma"/>
          <w:sz w:val="24"/>
          <w:szCs w:val="24"/>
        </w:rPr>
      </w:pPr>
      <w:r w:rsidRPr="2E32ED18">
        <w:rPr>
          <w:rFonts w:ascii="Tahoma" w:hAnsi="Tahoma" w:cs="Tahoma"/>
          <w:sz w:val="24"/>
          <w:szCs w:val="24"/>
        </w:rPr>
        <w:t xml:space="preserve">The proportion of housing cost arrears </w:t>
      </w:r>
      <w:r w:rsidR="027D926D" w:rsidRPr="2E32ED18">
        <w:rPr>
          <w:rFonts w:ascii="Tahoma" w:hAnsi="Tahoma" w:cs="Tahoma"/>
          <w:sz w:val="24"/>
          <w:szCs w:val="24"/>
        </w:rPr>
        <w:t>a</w:t>
      </w:r>
      <w:r w:rsidR="00182412" w:rsidRPr="2E32ED18">
        <w:rPr>
          <w:rFonts w:ascii="Tahoma" w:hAnsi="Tahoma" w:cs="Tahoma"/>
          <w:sz w:val="24"/>
          <w:szCs w:val="24"/>
        </w:rPr>
        <w:t xml:space="preserve">dvice on RSL arrears remained more consistent between the two </w:t>
      </w:r>
      <w:r w:rsidR="005E168D" w:rsidRPr="2E32ED18">
        <w:rPr>
          <w:rFonts w:ascii="Tahoma" w:hAnsi="Tahoma" w:cs="Tahoma"/>
          <w:sz w:val="24"/>
          <w:szCs w:val="24"/>
        </w:rPr>
        <w:t>years</w:t>
      </w:r>
      <w:r w:rsidR="003344A7" w:rsidRPr="2E32ED18">
        <w:rPr>
          <w:rFonts w:ascii="Tahoma" w:hAnsi="Tahoma" w:cs="Tahoma"/>
          <w:sz w:val="24"/>
          <w:szCs w:val="24"/>
        </w:rPr>
        <w:t xml:space="preserve">, </w:t>
      </w:r>
      <w:r w:rsidR="00015325" w:rsidRPr="2E32ED18">
        <w:rPr>
          <w:rFonts w:ascii="Tahoma" w:hAnsi="Tahoma" w:cs="Tahoma"/>
          <w:sz w:val="24"/>
          <w:szCs w:val="24"/>
        </w:rPr>
        <w:t>with</w:t>
      </w:r>
      <w:r w:rsidR="003344A7" w:rsidRPr="2E32ED18">
        <w:rPr>
          <w:rFonts w:ascii="Tahoma" w:hAnsi="Tahoma" w:cs="Tahoma"/>
          <w:sz w:val="24"/>
          <w:szCs w:val="24"/>
        </w:rPr>
        <w:t xml:space="preserve"> a</w:t>
      </w:r>
      <w:r w:rsidR="008C4BC3" w:rsidRPr="2E32ED18">
        <w:rPr>
          <w:rFonts w:ascii="Tahoma" w:hAnsi="Tahoma" w:cs="Tahoma"/>
          <w:sz w:val="24"/>
          <w:szCs w:val="24"/>
        </w:rPr>
        <w:t xml:space="preserve"> mostly</w:t>
      </w:r>
      <w:r w:rsidR="003344A7" w:rsidRPr="2E32ED18">
        <w:rPr>
          <w:rFonts w:ascii="Tahoma" w:hAnsi="Tahoma" w:cs="Tahoma"/>
          <w:sz w:val="24"/>
          <w:szCs w:val="24"/>
        </w:rPr>
        <w:t xml:space="preserve"> quarter-on-quarter increase</w:t>
      </w:r>
      <w:r w:rsidR="00261C33" w:rsidRPr="2E32ED18">
        <w:rPr>
          <w:rFonts w:ascii="Tahoma" w:hAnsi="Tahoma" w:cs="Tahoma"/>
          <w:sz w:val="24"/>
          <w:szCs w:val="24"/>
        </w:rPr>
        <w:t xml:space="preserve"> each year</w:t>
      </w:r>
      <w:r w:rsidR="005E168D" w:rsidRPr="2E32ED18">
        <w:rPr>
          <w:rFonts w:ascii="Tahoma" w:hAnsi="Tahoma" w:cs="Tahoma"/>
          <w:sz w:val="24"/>
          <w:szCs w:val="24"/>
        </w:rPr>
        <w:t xml:space="preserve"> </w:t>
      </w:r>
      <w:r w:rsidR="008C4BC3" w:rsidRPr="2E32ED18">
        <w:rPr>
          <w:rFonts w:ascii="Tahoma" w:hAnsi="Tahoma" w:cs="Tahoma"/>
          <w:sz w:val="24"/>
          <w:szCs w:val="24"/>
        </w:rPr>
        <w:t>after</w:t>
      </w:r>
      <w:r w:rsidR="005E168D" w:rsidRPr="2E32ED18">
        <w:rPr>
          <w:rFonts w:ascii="Tahoma" w:hAnsi="Tahoma" w:cs="Tahoma"/>
          <w:sz w:val="24"/>
          <w:szCs w:val="24"/>
        </w:rPr>
        <w:t xml:space="preserve"> an initial drop between Q4 of 2019/20 and Q1 of 2020/21</w:t>
      </w:r>
      <w:r w:rsidR="008C4BC3" w:rsidRPr="2E32ED18">
        <w:rPr>
          <w:rFonts w:ascii="Tahoma" w:hAnsi="Tahoma" w:cs="Tahoma"/>
          <w:sz w:val="24"/>
          <w:szCs w:val="24"/>
        </w:rPr>
        <w:t>.</w:t>
      </w:r>
    </w:p>
    <w:p w14:paraId="326332CF" w14:textId="7788B9F7" w:rsidR="003744D1" w:rsidRDefault="00015325">
      <w:pPr>
        <w:rPr>
          <w:rFonts w:ascii="Tahoma" w:hAnsi="Tahoma" w:cs="Tahoma"/>
          <w:sz w:val="24"/>
          <w:szCs w:val="24"/>
        </w:rPr>
      </w:pPr>
      <w:r>
        <w:rPr>
          <w:rFonts w:ascii="Tahoma" w:hAnsi="Tahoma" w:cs="Tahoma"/>
          <w:sz w:val="24"/>
          <w:szCs w:val="24"/>
        </w:rPr>
        <w:t>Advice on mortgages and secured loan</w:t>
      </w:r>
      <w:r w:rsidR="00C7473F">
        <w:rPr>
          <w:rFonts w:ascii="Tahoma" w:hAnsi="Tahoma" w:cs="Tahoma"/>
          <w:sz w:val="24"/>
          <w:szCs w:val="24"/>
        </w:rPr>
        <w:t xml:space="preserve"> arrears</w:t>
      </w:r>
      <w:r>
        <w:rPr>
          <w:rFonts w:ascii="Tahoma" w:hAnsi="Tahoma" w:cs="Tahoma"/>
          <w:sz w:val="24"/>
          <w:szCs w:val="24"/>
        </w:rPr>
        <w:t xml:space="preserve"> followed </w:t>
      </w:r>
      <w:r w:rsidR="00C7473F">
        <w:rPr>
          <w:rFonts w:ascii="Tahoma" w:hAnsi="Tahoma" w:cs="Tahoma"/>
          <w:sz w:val="24"/>
          <w:szCs w:val="24"/>
        </w:rPr>
        <w:t>a slightly different</w:t>
      </w:r>
      <w:r w:rsidR="00600B2D">
        <w:rPr>
          <w:rFonts w:ascii="Tahoma" w:hAnsi="Tahoma" w:cs="Tahoma"/>
          <w:sz w:val="24"/>
          <w:szCs w:val="24"/>
        </w:rPr>
        <w:t xml:space="preserve"> and more inconsistent</w:t>
      </w:r>
      <w:r w:rsidR="00C7473F">
        <w:rPr>
          <w:rFonts w:ascii="Tahoma" w:hAnsi="Tahoma" w:cs="Tahoma"/>
          <w:sz w:val="24"/>
          <w:szCs w:val="24"/>
        </w:rPr>
        <w:t xml:space="preserve"> pattern to RSL </w:t>
      </w:r>
      <w:r w:rsidR="000570F8">
        <w:rPr>
          <w:rFonts w:ascii="Tahoma" w:hAnsi="Tahoma" w:cs="Tahoma"/>
          <w:sz w:val="24"/>
          <w:szCs w:val="24"/>
        </w:rPr>
        <w:t>arrears but</w:t>
      </w:r>
      <w:r w:rsidR="00600B2D">
        <w:rPr>
          <w:rFonts w:ascii="Tahoma" w:hAnsi="Tahoma" w:cs="Tahoma"/>
          <w:sz w:val="24"/>
          <w:szCs w:val="24"/>
        </w:rPr>
        <w:t xml:space="preserve"> remained at or under 20% of all housing cost arrears advice</w:t>
      </w:r>
      <w:r w:rsidR="00E76C88">
        <w:rPr>
          <w:rFonts w:ascii="Tahoma" w:hAnsi="Tahoma" w:cs="Tahoma"/>
          <w:sz w:val="24"/>
          <w:szCs w:val="24"/>
        </w:rPr>
        <w:t xml:space="preserve"> for the full two years, peaking in Q1 of 2020/21.</w:t>
      </w:r>
    </w:p>
    <w:p w14:paraId="65BB1CD2" w14:textId="6FA5C7F6" w:rsidR="00BD140C" w:rsidRPr="00BD140C" w:rsidRDefault="00BD140C">
      <w:pPr>
        <w:rPr>
          <w:rFonts w:ascii="Tahoma" w:hAnsi="Tahoma" w:cs="Tahoma"/>
          <w:sz w:val="24"/>
          <w:szCs w:val="24"/>
        </w:rPr>
      </w:pPr>
      <w:r w:rsidRPr="2E32ED18">
        <w:rPr>
          <w:rFonts w:ascii="Tahoma" w:hAnsi="Tahoma" w:cs="Tahoma"/>
          <w:sz w:val="24"/>
          <w:szCs w:val="24"/>
        </w:rPr>
        <w:t xml:space="preserve">The change in advice on private sector arrears potentially gives the most cause for concern: </w:t>
      </w:r>
      <w:r w:rsidR="00CF4128" w:rsidRPr="2E32ED18">
        <w:rPr>
          <w:rFonts w:ascii="Tahoma" w:hAnsi="Tahoma" w:cs="Tahoma"/>
          <w:sz w:val="24"/>
          <w:szCs w:val="24"/>
        </w:rPr>
        <w:t>whil</w:t>
      </w:r>
      <w:r w:rsidR="007B63DF" w:rsidRPr="2E32ED18">
        <w:rPr>
          <w:rFonts w:ascii="Tahoma" w:hAnsi="Tahoma" w:cs="Tahoma"/>
          <w:sz w:val="24"/>
          <w:szCs w:val="24"/>
        </w:rPr>
        <w:t>st</w:t>
      </w:r>
      <w:r w:rsidR="00CF4128" w:rsidRPr="2E32ED18">
        <w:rPr>
          <w:rFonts w:ascii="Tahoma" w:hAnsi="Tahoma" w:cs="Tahoma"/>
          <w:sz w:val="24"/>
          <w:szCs w:val="24"/>
        </w:rPr>
        <w:t xml:space="preserve"> PRS arrears </w:t>
      </w:r>
      <w:r w:rsidR="49745750" w:rsidRPr="2E32ED18">
        <w:rPr>
          <w:rFonts w:ascii="Tahoma" w:hAnsi="Tahoma" w:cs="Tahoma"/>
          <w:sz w:val="24"/>
          <w:szCs w:val="24"/>
        </w:rPr>
        <w:t xml:space="preserve">advice </w:t>
      </w:r>
      <w:r w:rsidR="00CF4128" w:rsidRPr="2E32ED18">
        <w:rPr>
          <w:rFonts w:ascii="Tahoma" w:hAnsi="Tahoma" w:cs="Tahoma"/>
          <w:sz w:val="24"/>
          <w:szCs w:val="24"/>
        </w:rPr>
        <w:t>remain</w:t>
      </w:r>
      <w:r w:rsidR="56515DA8" w:rsidRPr="2E32ED18">
        <w:rPr>
          <w:rFonts w:ascii="Tahoma" w:hAnsi="Tahoma" w:cs="Tahoma"/>
          <w:sz w:val="24"/>
          <w:szCs w:val="24"/>
        </w:rPr>
        <w:t>s</w:t>
      </w:r>
      <w:r w:rsidR="00CF4128" w:rsidRPr="2E32ED18">
        <w:rPr>
          <w:rFonts w:ascii="Tahoma" w:hAnsi="Tahoma" w:cs="Tahoma"/>
          <w:sz w:val="24"/>
          <w:szCs w:val="24"/>
        </w:rPr>
        <w:t xml:space="preserve"> the </w:t>
      </w:r>
      <w:r w:rsidR="5A38F1FF" w:rsidRPr="2E32ED18">
        <w:rPr>
          <w:rFonts w:ascii="Tahoma" w:hAnsi="Tahoma" w:cs="Tahoma"/>
          <w:sz w:val="24"/>
          <w:szCs w:val="24"/>
        </w:rPr>
        <w:t xml:space="preserve">least </w:t>
      </w:r>
      <w:r w:rsidR="5A38F1FF" w:rsidRPr="67C93787">
        <w:rPr>
          <w:rFonts w:ascii="Tahoma" w:hAnsi="Tahoma" w:cs="Tahoma"/>
          <w:sz w:val="24"/>
          <w:szCs w:val="24"/>
        </w:rPr>
        <w:t>comm</w:t>
      </w:r>
      <w:r w:rsidR="17843E56" w:rsidRPr="67C93787">
        <w:rPr>
          <w:rFonts w:ascii="Tahoma" w:hAnsi="Tahoma" w:cs="Tahoma"/>
          <w:sz w:val="24"/>
          <w:szCs w:val="24"/>
        </w:rPr>
        <w:t>o</w:t>
      </w:r>
      <w:r w:rsidR="5A38F1FF" w:rsidRPr="67C93787">
        <w:rPr>
          <w:rFonts w:ascii="Tahoma" w:hAnsi="Tahoma" w:cs="Tahoma"/>
          <w:sz w:val="24"/>
          <w:szCs w:val="24"/>
        </w:rPr>
        <w:t>n</w:t>
      </w:r>
      <w:r w:rsidR="391EA5F8" w:rsidRPr="2E32ED18">
        <w:rPr>
          <w:rFonts w:ascii="Tahoma" w:hAnsi="Tahoma" w:cs="Tahoma"/>
          <w:sz w:val="24"/>
          <w:szCs w:val="24"/>
        </w:rPr>
        <w:t xml:space="preserve"> of all housing cost arrears</w:t>
      </w:r>
      <w:r w:rsidR="002745EE" w:rsidRPr="2E32ED18">
        <w:rPr>
          <w:rFonts w:ascii="Tahoma" w:hAnsi="Tahoma" w:cs="Tahoma"/>
          <w:sz w:val="24"/>
          <w:szCs w:val="24"/>
        </w:rPr>
        <w:t>, the</w:t>
      </w:r>
      <w:r w:rsidR="7733FB0F" w:rsidRPr="2E32ED18">
        <w:rPr>
          <w:rFonts w:ascii="Tahoma" w:hAnsi="Tahoma" w:cs="Tahoma"/>
          <w:sz w:val="24"/>
          <w:szCs w:val="24"/>
        </w:rPr>
        <w:t xml:space="preserve"> proportion of advice in this area</w:t>
      </w:r>
      <w:r w:rsidR="002745EE" w:rsidRPr="2E32ED18">
        <w:rPr>
          <w:rFonts w:ascii="Tahoma" w:hAnsi="Tahoma" w:cs="Tahoma"/>
          <w:sz w:val="24"/>
          <w:szCs w:val="24"/>
        </w:rPr>
        <w:t xml:space="preserve"> ha</w:t>
      </w:r>
      <w:r w:rsidR="70B5B23D" w:rsidRPr="2E32ED18">
        <w:rPr>
          <w:rFonts w:ascii="Tahoma" w:hAnsi="Tahoma" w:cs="Tahoma"/>
          <w:sz w:val="24"/>
          <w:szCs w:val="24"/>
        </w:rPr>
        <w:t>s</w:t>
      </w:r>
      <w:r w:rsidR="002745EE" w:rsidRPr="2E32ED18">
        <w:rPr>
          <w:rFonts w:ascii="Tahoma" w:hAnsi="Tahoma" w:cs="Tahoma"/>
          <w:sz w:val="24"/>
          <w:szCs w:val="24"/>
        </w:rPr>
        <w:t xml:space="preserve"> more than doubled over the past year. </w:t>
      </w:r>
      <w:r w:rsidR="562C1AA0" w:rsidRPr="2E32ED18">
        <w:rPr>
          <w:rFonts w:ascii="Tahoma" w:hAnsi="Tahoma" w:cs="Tahoma"/>
          <w:sz w:val="24"/>
          <w:szCs w:val="24"/>
        </w:rPr>
        <w:t>It</w:t>
      </w:r>
      <w:r w:rsidR="0025445E" w:rsidRPr="2E32ED18">
        <w:rPr>
          <w:rFonts w:ascii="Tahoma" w:hAnsi="Tahoma" w:cs="Tahoma"/>
          <w:sz w:val="24"/>
          <w:szCs w:val="24"/>
        </w:rPr>
        <w:t xml:space="preserve"> peaked at 17% </w:t>
      </w:r>
      <w:r w:rsidR="005E7595" w:rsidRPr="2E32ED18">
        <w:rPr>
          <w:rFonts w:ascii="Tahoma" w:hAnsi="Tahoma" w:cs="Tahoma"/>
          <w:sz w:val="24"/>
          <w:szCs w:val="24"/>
        </w:rPr>
        <w:t>in Q2 of 2020/21, compared to just 6% in the same period of the previous year.</w:t>
      </w:r>
    </w:p>
    <w:p w14:paraId="3983E247" w14:textId="51EECF0F" w:rsidR="004728EB" w:rsidRDefault="004728EB" w:rsidP="004728EB">
      <w:pPr>
        <w:rPr>
          <w:rFonts w:ascii="Tahoma" w:hAnsi="Tahoma" w:cs="Tahoma"/>
          <w:sz w:val="24"/>
          <w:szCs w:val="24"/>
        </w:rPr>
      </w:pPr>
      <w:r w:rsidRPr="2E32ED18">
        <w:rPr>
          <w:rFonts w:ascii="Tahoma" w:hAnsi="Tahoma" w:cs="Tahoma"/>
          <w:sz w:val="24"/>
          <w:szCs w:val="24"/>
        </w:rPr>
        <w:t>Advice on housing cost arrears has seen some of the biggest changes over the past year. The  20% drop in the proportion of local authority arrears advice between Q2 of 2019/20 and 2020/21 might indicate proactive efforts on the part of local authorities to ensure their tenants were accessing all support possible to help them pay their rent, or could be offset by the concurrent steep rise in advice on private rented sector arrears.</w:t>
      </w:r>
    </w:p>
    <w:p w14:paraId="138C8EA5" w14:textId="24F08A74" w:rsidR="004728EB" w:rsidRPr="00406237" w:rsidRDefault="004728EB" w:rsidP="004728EB">
      <w:pPr>
        <w:rPr>
          <w:rFonts w:ascii="Tahoma" w:hAnsi="Tahoma" w:cs="Tahoma"/>
          <w:sz w:val="24"/>
          <w:szCs w:val="24"/>
        </w:rPr>
      </w:pPr>
      <w:r>
        <w:rPr>
          <w:rFonts w:ascii="Tahoma" w:hAnsi="Tahoma" w:cs="Tahoma"/>
          <w:sz w:val="24"/>
          <w:szCs w:val="24"/>
        </w:rPr>
        <w:t xml:space="preserve">This rise in </w:t>
      </w:r>
      <w:r w:rsidRPr="3AA28CB2">
        <w:rPr>
          <w:rFonts w:ascii="Tahoma" w:hAnsi="Tahoma" w:cs="Tahoma"/>
          <w:sz w:val="24"/>
          <w:szCs w:val="24"/>
        </w:rPr>
        <w:t xml:space="preserve">the proportion of </w:t>
      </w:r>
      <w:r>
        <w:rPr>
          <w:rFonts w:ascii="Tahoma" w:hAnsi="Tahoma" w:cs="Tahoma"/>
          <w:sz w:val="24"/>
          <w:szCs w:val="24"/>
        </w:rPr>
        <w:t xml:space="preserve">advice on private rented sector arrears is of great concern to CAS and indicates that private renters are increasingly </w:t>
      </w:r>
      <w:r w:rsidRPr="3AA28CB2">
        <w:rPr>
          <w:rFonts w:ascii="Tahoma" w:hAnsi="Tahoma" w:cs="Tahoma"/>
          <w:sz w:val="24"/>
          <w:szCs w:val="24"/>
        </w:rPr>
        <w:t xml:space="preserve">and particularly </w:t>
      </w:r>
      <w:r>
        <w:rPr>
          <w:rFonts w:ascii="Tahoma" w:hAnsi="Tahoma" w:cs="Tahoma"/>
          <w:sz w:val="24"/>
          <w:szCs w:val="24"/>
        </w:rPr>
        <w:t xml:space="preserve">struggling. Despite the protections introduced during the pandemic such as </w:t>
      </w:r>
      <w:r>
        <w:rPr>
          <w:rFonts w:ascii="Tahoma" w:hAnsi="Tahoma" w:cs="Tahoma"/>
          <w:sz w:val="24"/>
          <w:szCs w:val="24"/>
        </w:rPr>
        <w:lastRenderedPageBreak/>
        <w:t xml:space="preserve">extended notice periods, pre-action requirements and </w:t>
      </w:r>
      <w:r w:rsidRPr="3AA28CB2">
        <w:rPr>
          <w:rFonts w:ascii="Tahoma" w:hAnsi="Tahoma" w:cs="Tahoma"/>
          <w:sz w:val="24"/>
          <w:szCs w:val="24"/>
        </w:rPr>
        <w:t>most</w:t>
      </w:r>
      <w:r>
        <w:rPr>
          <w:rFonts w:ascii="Tahoma" w:hAnsi="Tahoma" w:cs="Tahoma"/>
          <w:sz w:val="24"/>
          <w:szCs w:val="24"/>
        </w:rPr>
        <w:t xml:space="preserve"> eviction grounds being discretionary, private renters </w:t>
      </w:r>
      <w:r w:rsidRPr="3AA28CB2">
        <w:rPr>
          <w:rFonts w:ascii="Tahoma" w:hAnsi="Tahoma" w:cs="Tahoma"/>
          <w:sz w:val="24"/>
          <w:szCs w:val="24"/>
        </w:rPr>
        <w:t>remain</w:t>
      </w:r>
      <w:r w:rsidR="008848F5">
        <w:rPr>
          <w:rFonts w:ascii="Tahoma" w:hAnsi="Tahoma" w:cs="Tahoma"/>
          <w:sz w:val="24"/>
          <w:szCs w:val="24"/>
        </w:rPr>
        <w:t xml:space="preserve"> </w:t>
      </w:r>
      <w:r>
        <w:rPr>
          <w:rFonts w:ascii="Tahoma" w:hAnsi="Tahoma" w:cs="Tahoma"/>
          <w:sz w:val="24"/>
          <w:szCs w:val="24"/>
        </w:rPr>
        <w:t>in a very precarious position if their landlord decides to pursue eviction</w:t>
      </w:r>
      <w:r w:rsidRPr="3AA28CB2">
        <w:rPr>
          <w:rFonts w:ascii="Tahoma" w:hAnsi="Tahoma" w:cs="Tahoma"/>
          <w:sz w:val="24"/>
          <w:szCs w:val="24"/>
        </w:rPr>
        <w:t xml:space="preserve"> on the basis of arrears</w:t>
      </w:r>
      <w:r>
        <w:rPr>
          <w:rFonts w:ascii="Tahoma" w:hAnsi="Tahoma" w:cs="Tahoma"/>
          <w:sz w:val="24"/>
          <w:szCs w:val="24"/>
        </w:rPr>
        <w:t>. This is compounded by the fact that renters are likely to have less savings and to have been furloughed or lost their jobs compared to those who have mortgages.</w:t>
      </w:r>
      <w:r>
        <w:rPr>
          <w:rStyle w:val="FootnoteReference"/>
          <w:rFonts w:ascii="Tahoma" w:hAnsi="Tahoma" w:cs="Tahoma"/>
          <w:sz w:val="24"/>
          <w:szCs w:val="24"/>
        </w:rPr>
        <w:footnoteReference w:id="4"/>
      </w:r>
      <w:r>
        <w:rPr>
          <w:rFonts w:ascii="Tahoma" w:hAnsi="Tahoma" w:cs="Tahoma"/>
          <w:sz w:val="24"/>
          <w:szCs w:val="24"/>
        </w:rPr>
        <w:t xml:space="preserve"> Further, despite the protections, CAS is still aware of some landlords </w:t>
      </w:r>
      <w:r w:rsidRPr="3AA28CB2">
        <w:rPr>
          <w:rFonts w:ascii="Tahoma" w:hAnsi="Tahoma" w:cs="Tahoma"/>
          <w:sz w:val="24"/>
          <w:szCs w:val="24"/>
        </w:rPr>
        <w:t xml:space="preserve">attempting to </w:t>
      </w:r>
      <w:r>
        <w:rPr>
          <w:rFonts w:ascii="Tahoma" w:hAnsi="Tahoma" w:cs="Tahoma"/>
          <w:sz w:val="24"/>
          <w:szCs w:val="24"/>
        </w:rPr>
        <w:t xml:space="preserve">carry out illegal evictions, for rent arrears or other reasons during the pandemic. </w:t>
      </w:r>
    </w:p>
    <w:p w14:paraId="1249030C" w14:textId="77777777" w:rsidR="004728EB" w:rsidRDefault="004728EB" w:rsidP="004728EB">
      <w:pPr>
        <w:rPr>
          <w:rFonts w:ascii="Tahoma" w:hAnsi="Tahoma" w:cs="Tahoma"/>
          <w:sz w:val="24"/>
          <w:szCs w:val="24"/>
        </w:rPr>
      </w:pPr>
      <w:r w:rsidRPr="3AA28CB2">
        <w:rPr>
          <w:rFonts w:ascii="Tahoma" w:hAnsi="Tahoma" w:cs="Tahoma"/>
          <w:sz w:val="24"/>
          <w:szCs w:val="24"/>
        </w:rPr>
        <w:t>In May 2021, CAS, along with the PRS resilience group produced recommendations on the steps needed to ensure that renters were part of an inclusive recovery out of the pandemic. One of the recommendations, greater grant support for renters who have accumulated arrears over the pandemic, was taken up by the Scottish Government in June 2021.</w:t>
      </w:r>
    </w:p>
    <w:p w14:paraId="16069231" w14:textId="77777777" w:rsidR="004728EB" w:rsidRDefault="004728EB" w:rsidP="004728EB">
      <w:pPr>
        <w:rPr>
          <w:rFonts w:ascii="Tahoma" w:hAnsi="Tahoma" w:cs="Tahoma"/>
          <w:sz w:val="24"/>
          <w:szCs w:val="24"/>
        </w:rPr>
      </w:pPr>
      <w:r w:rsidRPr="00FA68DC">
        <w:rPr>
          <w:rFonts w:ascii="Tahoma" w:hAnsi="Tahoma" w:cs="Tahoma"/>
          <w:b/>
          <w:sz w:val="24"/>
          <w:szCs w:val="24"/>
        </w:rPr>
        <w:t>Citizens Alert</w:t>
      </w:r>
      <w:r>
        <w:rPr>
          <w:rFonts w:ascii="Tahoma" w:hAnsi="Tahoma" w:cs="Tahoma"/>
          <w:b/>
          <w:sz w:val="24"/>
          <w:szCs w:val="24"/>
        </w:rPr>
        <w:t xml:space="preserve">: </w:t>
      </w:r>
      <w:r>
        <w:rPr>
          <w:rFonts w:ascii="Tahoma" w:hAnsi="Tahoma" w:cs="Tahoma"/>
          <w:sz w:val="24"/>
          <w:szCs w:val="24"/>
        </w:rPr>
        <w:t>An East of Scotland CAB reports of a client whose landlord has threatened him with eviction with a week’s notice. The client is on reduced hours and wages due to COVID and is struggling to pay full rent and is accruing arrears.</w:t>
      </w:r>
    </w:p>
    <w:p w14:paraId="132A413E" w14:textId="5715B406" w:rsidR="003744D1" w:rsidRDefault="003744D1">
      <w:pPr>
        <w:rPr>
          <w:b/>
        </w:rPr>
      </w:pPr>
    </w:p>
    <w:p w14:paraId="28363D29" w14:textId="77777777" w:rsidR="008848F5" w:rsidRDefault="008848F5" w:rsidP="008848F5">
      <w:pPr>
        <w:rPr>
          <w:rFonts w:ascii="Tahoma" w:hAnsi="Tahoma" w:cs="Tahoma"/>
          <w:b/>
          <w:bCs/>
          <w:color w:val="4472C4" w:themeColor="accent1"/>
          <w:sz w:val="24"/>
          <w:szCs w:val="24"/>
        </w:rPr>
      </w:pPr>
      <w:r w:rsidRPr="2E32ED18">
        <w:rPr>
          <w:rFonts w:ascii="Tahoma" w:hAnsi="Tahoma" w:cs="Tahoma"/>
          <w:b/>
          <w:bCs/>
          <w:color w:val="4472C4" w:themeColor="accent1"/>
          <w:sz w:val="24"/>
          <w:szCs w:val="24"/>
        </w:rPr>
        <w:t xml:space="preserve">CAS recommends: </w:t>
      </w:r>
    </w:p>
    <w:p w14:paraId="43D51693" w14:textId="77777777" w:rsidR="008848F5" w:rsidRPr="00995614" w:rsidRDefault="008848F5" w:rsidP="008848F5">
      <w:pPr>
        <w:rPr>
          <w:rFonts w:ascii="Tahoma" w:hAnsi="Tahoma" w:cs="Tahoma"/>
          <w:sz w:val="24"/>
          <w:szCs w:val="24"/>
        </w:rPr>
      </w:pPr>
      <w:r w:rsidRPr="2E32ED18">
        <w:rPr>
          <w:rFonts w:ascii="Tahoma" w:hAnsi="Tahoma" w:cs="Tahoma"/>
          <w:sz w:val="24"/>
          <w:szCs w:val="24"/>
        </w:rPr>
        <w:t xml:space="preserve">The Scottish Government should plan, deliver and monitor uptake of </w:t>
      </w:r>
      <w:r w:rsidRPr="612456F0">
        <w:rPr>
          <w:rFonts w:ascii="Tahoma" w:hAnsi="Tahoma" w:cs="Tahoma"/>
          <w:sz w:val="24"/>
          <w:szCs w:val="24"/>
        </w:rPr>
        <w:t>the</w:t>
      </w:r>
      <w:r w:rsidRPr="2E32ED18">
        <w:rPr>
          <w:rFonts w:ascii="Tahoma" w:hAnsi="Tahoma" w:cs="Tahoma"/>
          <w:sz w:val="24"/>
          <w:szCs w:val="24"/>
        </w:rPr>
        <w:t xml:space="preserve"> </w:t>
      </w:r>
      <w:r w:rsidRPr="3263BFB0">
        <w:rPr>
          <w:rFonts w:ascii="Tahoma" w:hAnsi="Tahoma" w:cs="Tahoma"/>
          <w:sz w:val="24"/>
          <w:szCs w:val="24"/>
        </w:rPr>
        <w:t xml:space="preserve">new Tenant </w:t>
      </w:r>
      <w:r w:rsidRPr="27838C10">
        <w:rPr>
          <w:rFonts w:ascii="Tahoma" w:hAnsi="Tahoma" w:cs="Tahoma"/>
          <w:sz w:val="24"/>
          <w:szCs w:val="24"/>
        </w:rPr>
        <w:t>Grant</w:t>
      </w:r>
      <w:r w:rsidRPr="2E32ED18">
        <w:rPr>
          <w:rFonts w:ascii="Tahoma" w:hAnsi="Tahoma" w:cs="Tahoma"/>
          <w:sz w:val="24"/>
          <w:szCs w:val="24"/>
        </w:rPr>
        <w:t xml:space="preserve"> </w:t>
      </w:r>
      <w:r w:rsidRPr="63D1725C">
        <w:rPr>
          <w:rFonts w:ascii="Tahoma" w:hAnsi="Tahoma" w:cs="Tahoma"/>
          <w:sz w:val="24"/>
          <w:szCs w:val="24"/>
        </w:rPr>
        <w:t>F</w:t>
      </w:r>
      <w:r w:rsidRPr="2E32ED18">
        <w:rPr>
          <w:rFonts w:ascii="Tahoma" w:hAnsi="Tahoma" w:cs="Tahoma"/>
          <w:sz w:val="24"/>
          <w:szCs w:val="24"/>
        </w:rPr>
        <w:t xml:space="preserve">und to ensure it is meeting the needs of renters who have struggled during the pandemic. </w:t>
      </w:r>
    </w:p>
    <w:p w14:paraId="60CFE695" w14:textId="4A0256D4" w:rsidR="008848F5" w:rsidRDefault="008848F5" w:rsidP="008848F5">
      <w:pPr>
        <w:rPr>
          <w:rFonts w:ascii="Tahoma" w:hAnsi="Tahoma" w:cs="Tahoma"/>
          <w:sz w:val="24"/>
          <w:szCs w:val="24"/>
        </w:rPr>
      </w:pPr>
      <w:r w:rsidRPr="2E32ED18">
        <w:rPr>
          <w:rFonts w:ascii="Tahoma" w:hAnsi="Tahoma" w:cs="Tahoma"/>
          <w:sz w:val="24"/>
          <w:szCs w:val="24"/>
        </w:rPr>
        <w:t xml:space="preserve">The Scottish Government should also consider what </w:t>
      </w:r>
      <w:r w:rsidRPr="295D62F4">
        <w:rPr>
          <w:rFonts w:ascii="Tahoma" w:hAnsi="Tahoma" w:cs="Tahoma"/>
          <w:sz w:val="24"/>
          <w:szCs w:val="24"/>
        </w:rPr>
        <w:t>additional</w:t>
      </w:r>
      <w:r w:rsidRPr="2E32ED18">
        <w:rPr>
          <w:rFonts w:ascii="Tahoma" w:hAnsi="Tahoma" w:cs="Tahoma"/>
          <w:sz w:val="24"/>
          <w:szCs w:val="24"/>
        </w:rPr>
        <w:t xml:space="preserve"> steps should be taken to support renters as furlough ends and the proposed £20 a week cut to Universal Credit is due to end in Autumn 2021.</w:t>
      </w:r>
    </w:p>
    <w:p w14:paraId="22CDD286" w14:textId="56C9CCF8" w:rsidR="008848F5" w:rsidRDefault="008848F5" w:rsidP="008848F5">
      <w:pPr>
        <w:rPr>
          <w:rFonts w:ascii="Tahoma" w:hAnsi="Tahoma" w:cs="Tahoma"/>
          <w:sz w:val="24"/>
          <w:szCs w:val="24"/>
        </w:rPr>
      </w:pPr>
      <w:r>
        <w:rPr>
          <w:rFonts w:ascii="Tahoma" w:hAnsi="Tahoma" w:cs="Tahoma"/>
          <w:sz w:val="24"/>
          <w:szCs w:val="24"/>
        </w:rPr>
        <w:t xml:space="preserve">The Scottish Government should ensure </w:t>
      </w:r>
      <w:r w:rsidRPr="005017E4">
        <w:rPr>
          <w:rFonts w:ascii="Tahoma" w:hAnsi="Tahoma" w:cs="Tahoma"/>
          <w:sz w:val="24"/>
          <w:szCs w:val="24"/>
        </w:rPr>
        <w:t>adequate DHP funding is available and local authorities to make sure DHP are available</w:t>
      </w:r>
      <w:r>
        <w:rPr>
          <w:rFonts w:ascii="Tahoma" w:hAnsi="Tahoma" w:cs="Tahoma"/>
          <w:sz w:val="24"/>
          <w:szCs w:val="24"/>
        </w:rPr>
        <w:t xml:space="preserve"> and </w:t>
      </w:r>
      <w:r w:rsidRPr="005017E4">
        <w:rPr>
          <w:rFonts w:ascii="Tahoma" w:hAnsi="Tahoma" w:cs="Tahoma"/>
          <w:sz w:val="24"/>
          <w:szCs w:val="24"/>
        </w:rPr>
        <w:t xml:space="preserve">accessible to those who are struggling to meet their housing costs. </w:t>
      </w:r>
      <w:r w:rsidRPr="005017E4">
        <w:rPr>
          <w:rFonts w:ascii="Tahoma" w:hAnsi="Tahoma" w:cs="Tahoma"/>
          <w:sz w:val="24"/>
          <w:szCs w:val="24"/>
        </w:rPr>
        <w:annotationRef/>
      </w:r>
    </w:p>
    <w:p w14:paraId="4D1223D7" w14:textId="16C92AA6" w:rsidR="008848F5" w:rsidRPr="00893002" w:rsidRDefault="008848F5" w:rsidP="008848F5">
      <w:pPr>
        <w:rPr>
          <w:rFonts w:ascii="Tahoma" w:hAnsi="Tahoma" w:cs="Tahoma"/>
          <w:sz w:val="24"/>
          <w:szCs w:val="24"/>
        </w:rPr>
      </w:pPr>
      <w:r w:rsidRPr="00893002">
        <w:rPr>
          <w:rFonts w:ascii="Tahoma" w:hAnsi="Tahoma" w:cs="Tahoma"/>
          <w:sz w:val="24"/>
          <w:szCs w:val="24"/>
        </w:rPr>
        <w:t xml:space="preserve">In the medium term, the Scottish Government should work to better understand what role high housing costs might play in causing arrears by introducing a rent register to improve transparency in the Private Rented Sector. </w:t>
      </w:r>
      <w:r w:rsidRPr="00893002">
        <w:rPr>
          <w:rFonts w:ascii="Tahoma" w:hAnsi="Tahoma" w:cs="Tahoma"/>
          <w:sz w:val="24"/>
          <w:szCs w:val="24"/>
        </w:rPr>
        <w:annotationRef/>
      </w:r>
    </w:p>
    <w:p w14:paraId="5A231B15" w14:textId="34E30460" w:rsidR="00270A45" w:rsidRPr="00801993" w:rsidRDefault="008848F5" w:rsidP="003744D1">
      <w:pPr>
        <w:rPr>
          <w:rFonts w:ascii="Tahoma" w:hAnsi="Tahoma" w:cs="Tahoma"/>
          <w:sz w:val="24"/>
          <w:szCs w:val="24"/>
        </w:rPr>
      </w:pPr>
      <w:r w:rsidRPr="00893002">
        <w:rPr>
          <w:rFonts w:ascii="Tahoma" w:hAnsi="Tahoma" w:cs="Tahoma"/>
          <w:sz w:val="24"/>
          <w:szCs w:val="24"/>
        </w:rPr>
        <w:t>In the longer term, work to improve availability of truly affordable housing across all tenures, so that people are less at risk of arrears from unaffordable housing costs.</w:t>
      </w:r>
      <w:r w:rsidR="00801993" w:rsidRPr="00801993">
        <w:rPr>
          <w:rFonts w:ascii="Tahoma" w:hAnsi="Tahoma" w:cs="Tahoma"/>
          <w:sz w:val="24"/>
          <w:szCs w:val="24"/>
        </w:rPr>
        <w:t xml:space="preserve"> </w:t>
      </w:r>
    </w:p>
    <w:p w14:paraId="12BD42A9" w14:textId="01B2FD81" w:rsidR="00270A45" w:rsidRDefault="00270A45" w:rsidP="003744D1">
      <w:pPr>
        <w:rPr>
          <w:rFonts w:ascii="Tahoma" w:hAnsi="Tahoma" w:cs="Tahoma"/>
          <w:b/>
          <w:sz w:val="24"/>
          <w:szCs w:val="24"/>
        </w:rPr>
      </w:pPr>
    </w:p>
    <w:p w14:paraId="2E18675B" w14:textId="48FF6448" w:rsidR="003744D1" w:rsidRPr="003744D1" w:rsidRDefault="003744D1" w:rsidP="2E32ED18">
      <w:pPr>
        <w:rPr>
          <w:rFonts w:ascii="Tahoma" w:hAnsi="Tahoma" w:cs="Tahoma"/>
          <w:b/>
          <w:bCs/>
          <w:sz w:val="24"/>
          <w:szCs w:val="24"/>
        </w:rPr>
      </w:pPr>
      <w:r w:rsidRPr="2E32ED18">
        <w:rPr>
          <w:rFonts w:ascii="Tahoma" w:hAnsi="Tahoma" w:cs="Tahoma"/>
          <w:b/>
          <w:bCs/>
          <w:sz w:val="24"/>
          <w:szCs w:val="24"/>
        </w:rPr>
        <w:t xml:space="preserve">Conclusions </w:t>
      </w:r>
      <w:r w:rsidR="00A17F03">
        <w:rPr>
          <w:rFonts w:ascii="Tahoma" w:hAnsi="Tahoma" w:cs="Tahoma"/>
          <w:b/>
          <w:bCs/>
          <w:sz w:val="24"/>
          <w:szCs w:val="24"/>
        </w:rPr>
        <w:t>and recommendations</w:t>
      </w:r>
    </w:p>
    <w:p w14:paraId="428673B5" w14:textId="17C7AFE0" w:rsidR="009E1A61" w:rsidRDefault="009E1A61">
      <w:pPr>
        <w:rPr>
          <w:rFonts w:ascii="Tahoma" w:hAnsi="Tahoma" w:cs="Tahoma"/>
          <w:sz w:val="24"/>
          <w:szCs w:val="24"/>
        </w:rPr>
      </w:pPr>
      <w:r w:rsidRPr="2E32ED18">
        <w:rPr>
          <w:rFonts w:ascii="Tahoma" w:hAnsi="Tahoma" w:cs="Tahoma"/>
          <w:sz w:val="24"/>
          <w:szCs w:val="24"/>
        </w:rPr>
        <w:t xml:space="preserve">The growth in demand for advice in 2020/21 suggests that there are changes afoot as to how people are living and experiencing housing in Scotland. </w:t>
      </w:r>
      <w:r w:rsidR="0073449B" w:rsidRPr="2E32ED18">
        <w:rPr>
          <w:rFonts w:ascii="Tahoma" w:hAnsi="Tahoma" w:cs="Tahoma"/>
          <w:sz w:val="24"/>
          <w:szCs w:val="24"/>
        </w:rPr>
        <w:t>Most</w:t>
      </w:r>
      <w:r w:rsidR="0004459B" w:rsidRPr="2E32ED18">
        <w:rPr>
          <w:rFonts w:ascii="Tahoma" w:hAnsi="Tahoma" w:cs="Tahoma"/>
          <w:sz w:val="24"/>
          <w:szCs w:val="24"/>
        </w:rPr>
        <w:t xml:space="preserve"> households in Scotland will have spent more time in their homes than ever before, </w:t>
      </w:r>
      <w:r w:rsidR="009E2910" w:rsidRPr="2E32ED18">
        <w:rPr>
          <w:rFonts w:ascii="Tahoma" w:hAnsi="Tahoma" w:cs="Tahoma"/>
          <w:sz w:val="24"/>
          <w:szCs w:val="24"/>
        </w:rPr>
        <w:t>perhaps bringing into sharp focus</w:t>
      </w:r>
      <w:r w:rsidR="00331F07" w:rsidRPr="2E32ED18">
        <w:rPr>
          <w:rFonts w:ascii="Tahoma" w:hAnsi="Tahoma" w:cs="Tahoma"/>
          <w:sz w:val="24"/>
          <w:szCs w:val="24"/>
        </w:rPr>
        <w:t xml:space="preserve"> any</w:t>
      </w:r>
      <w:r w:rsidR="009E2910" w:rsidRPr="2E32ED18">
        <w:rPr>
          <w:rFonts w:ascii="Tahoma" w:hAnsi="Tahoma" w:cs="Tahoma"/>
          <w:sz w:val="24"/>
          <w:szCs w:val="24"/>
        </w:rPr>
        <w:t xml:space="preserve"> housing issues that had previously been put aside</w:t>
      </w:r>
      <w:r w:rsidR="00331F07" w:rsidRPr="2E32ED18">
        <w:rPr>
          <w:rFonts w:ascii="Tahoma" w:hAnsi="Tahoma" w:cs="Tahoma"/>
          <w:sz w:val="24"/>
          <w:szCs w:val="24"/>
        </w:rPr>
        <w:t>.</w:t>
      </w:r>
      <w:r w:rsidR="0073449B" w:rsidRPr="2E32ED18">
        <w:rPr>
          <w:rFonts w:ascii="Tahoma" w:hAnsi="Tahoma" w:cs="Tahoma"/>
          <w:sz w:val="24"/>
          <w:szCs w:val="24"/>
        </w:rPr>
        <w:t xml:space="preserve"> More concerningly, </w:t>
      </w:r>
      <w:r w:rsidR="00CE164F" w:rsidRPr="2E32ED18">
        <w:rPr>
          <w:rFonts w:ascii="Tahoma" w:hAnsi="Tahoma" w:cs="Tahoma"/>
          <w:sz w:val="24"/>
          <w:szCs w:val="24"/>
        </w:rPr>
        <w:t xml:space="preserve">we know that the pandemic has brought </w:t>
      </w:r>
      <w:r w:rsidR="00D5012D" w:rsidRPr="2E32ED18">
        <w:rPr>
          <w:rFonts w:ascii="Tahoma" w:hAnsi="Tahoma" w:cs="Tahoma"/>
          <w:sz w:val="24"/>
          <w:szCs w:val="24"/>
        </w:rPr>
        <w:t>job losses and financial struggles for many, and these emerging difficulties may</w:t>
      </w:r>
      <w:r w:rsidR="00247416" w:rsidRPr="2E32ED18">
        <w:rPr>
          <w:rFonts w:ascii="Tahoma" w:hAnsi="Tahoma" w:cs="Tahoma"/>
          <w:sz w:val="24"/>
          <w:szCs w:val="24"/>
        </w:rPr>
        <w:t xml:space="preserve"> result </w:t>
      </w:r>
      <w:r w:rsidR="00AE22B9" w:rsidRPr="2E32ED18">
        <w:rPr>
          <w:rFonts w:ascii="Tahoma" w:hAnsi="Tahoma" w:cs="Tahoma"/>
          <w:sz w:val="24"/>
          <w:szCs w:val="24"/>
        </w:rPr>
        <w:t>in people struggling to pay their rent.</w:t>
      </w:r>
      <w:r w:rsidR="00510D61" w:rsidRPr="2E32ED18">
        <w:rPr>
          <w:rFonts w:ascii="Tahoma" w:hAnsi="Tahoma" w:cs="Tahoma"/>
          <w:sz w:val="24"/>
          <w:szCs w:val="24"/>
        </w:rPr>
        <w:t xml:space="preserve"> While the proportionate growth of housing advice </w:t>
      </w:r>
      <w:r w:rsidR="08193C82" w:rsidRPr="2E32ED18">
        <w:rPr>
          <w:rFonts w:ascii="Tahoma" w:hAnsi="Tahoma" w:cs="Tahoma"/>
          <w:sz w:val="24"/>
          <w:szCs w:val="24"/>
        </w:rPr>
        <w:t>from 4.</w:t>
      </w:r>
      <w:r w:rsidR="02A5A0EA" w:rsidRPr="2E32ED18">
        <w:rPr>
          <w:rFonts w:ascii="Tahoma" w:hAnsi="Tahoma" w:cs="Tahoma"/>
          <w:sz w:val="24"/>
          <w:szCs w:val="24"/>
        </w:rPr>
        <w:t>4</w:t>
      </w:r>
      <w:r w:rsidR="08193C82" w:rsidRPr="2E32ED18">
        <w:rPr>
          <w:rFonts w:ascii="Tahoma" w:hAnsi="Tahoma" w:cs="Tahoma"/>
          <w:sz w:val="24"/>
          <w:szCs w:val="24"/>
        </w:rPr>
        <w:t xml:space="preserve">% to </w:t>
      </w:r>
      <w:r w:rsidR="40578B4F" w:rsidRPr="2E32ED18">
        <w:rPr>
          <w:rFonts w:ascii="Tahoma" w:hAnsi="Tahoma" w:cs="Tahoma"/>
          <w:sz w:val="24"/>
          <w:szCs w:val="24"/>
        </w:rPr>
        <w:t xml:space="preserve">5.2% </w:t>
      </w:r>
      <w:r w:rsidR="7D484C52" w:rsidRPr="2E32ED18">
        <w:rPr>
          <w:rFonts w:ascii="Tahoma" w:hAnsi="Tahoma" w:cs="Tahoma"/>
          <w:sz w:val="24"/>
          <w:szCs w:val="24"/>
        </w:rPr>
        <w:t xml:space="preserve">of all advice may </w:t>
      </w:r>
      <w:r w:rsidR="00510D61" w:rsidRPr="2E32ED18">
        <w:rPr>
          <w:rFonts w:ascii="Tahoma" w:hAnsi="Tahoma" w:cs="Tahoma"/>
          <w:sz w:val="24"/>
          <w:szCs w:val="24"/>
        </w:rPr>
        <w:t>appear small, it represents thousands of pieces of advice.</w:t>
      </w:r>
    </w:p>
    <w:p w14:paraId="7403BD79" w14:textId="694D2478" w:rsidR="00DC4B5C" w:rsidRDefault="00DC4B5C">
      <w:pPr>
        <w:rPr>
          <w:rFonts w:ascii="Tahoma" w:hAnsi="Tahoma" w:cs="Tahoma"/>
          <w:sz w:val="24"/>
          <w:szCs w:val="24"/>
        </w:rPr>
      </w:pPr>
      <w:r w:rsidRPr="2E32ED18">
        <w:rPr>
          <w:rFonts w:ascii="Tahoma" w:hAnsi="Tahoma" w:cs="Tahoma"/>
          <w:sz w:val="24"/>
          <w:szCs w:val="24"/>
        </w:rPr>
        <w:t xml:space="preserve">As the Scottish Government </w:t>
      </w:r>
      <w:r w:rsidR="2499B34F" w:rsidRPr="2E32ED18">
        <w:rPr>
          <w:rFonts w:ascii="Tahoma" w:hAnsi="Tahoma" w:cs="Tahoma"/>
          <w:sz w:val="24"/>
          <w:szCs w:val="24"/>
        </w:rPr>
        <w:t>begins development of</w:t>
      </w:r>
      <w:r w:rsidR="00EB487F" w:rsidRPr="2E32ED18">
        <w:rPr>
          <w:rFonts w:ascii="Tahoma" w:hAnsi="Tahoma" w:cs="Tahoma"/>
          <w:sz w:val="24"/>
          <w:szCs w:val="24"/>
        </w:rPr>
        <w:t xml:space="preserve"> the new Rented Sector Strategy as part of</w:t>
      </w:r>
      <w:r w:rsidR="00D628CE" w:rsidRPr="2E32ED18">
        <w:rPr>
          <w:rFonts w:ascii="Tahoma" w:hAnsi="Tahoma" w:cs="Tahoma"/>
          <w:sz w:val="24"/>
          <w:szCs w:val="24"/>
        </w:rPr>
        <w:t xml:space="preserve"> </w:t>
      </w:r>
      <w:r w:rsidR="00762759" w:rsidRPr="2E32ED18">
        <w:rPr>
          <w:rFonts w:ascii="Tahoma" w:hAnsi="Tahoma" w:cs="Tahoma"/>
          <w:sz w:val="24"/>
          <w:szCs w:val="24"/>
        </w:rPr>
        <w:t xml:space="preserve">a new Housing Bill, we believe that these findings are of particular </w:t>
      </w:r>
      <w:r w:rsidR="0064416C" w:rsidRPr="2E32ED18">
        <w:rPr>
          <w:rFonts w:ascii="Tahoma" w:hAnsi="Tahoma" w:cs="Tahoma"/>
          <w:sz w:val="24"/>
          <w:szCs w:val="24"/>
        </w:rPr>
        <w:t>relevance</w:t>
      </w:r>
      <w:r w:rsidR="00762759" w:rsidRPr="2E32ED18">
        <w:rPr>
          <w:rFonts w:ascii="Tahoma" w:hAnsi="Tahoma" w:cs="Tahoma"/>
          <w:sz w:val="24"/>
          <w:szCs w:val="24"/>
        </w:rPr>
        <w:t xml:space="preserve">, </w:t>
      </w:r>
      <w:r w:rsidR="0064416C" w:rsidRPr="2E32ED18">
        <w:rPr>
          <w:rFonts w:ascii="Tahoma" w:hAnsi="Tahoma" w:cs="Tahoma"/>
          <w:sz w:val="24"/>
          <w:szCs w:val="24"/>
        </w:rPr>
        <w:t>especially</w:t>
      </w:r>
      <w:r w:rsidR="00762759" w:rsidRPr="2E32ED18">
        <w:rPr>
          <w:rFonts w:ascii="Tahoma" w:hAnsi="Tahoma" w:cs="Tahoma"/>
          <w:sz w:val="24"/>
          <w:szCs w:val="24"/>
        </w:rPr>
        <w:t xml:space="preserve"> for the private rented sector.</w:t>
      </w:r>
      <w:r w:rsidR="001F1B4B">
        <w:rPr>
          <w:rFonts w:ascii="Tahoma" w:hAnsi="Tahoma" w:cs="Tahoma"/>
          <w:sz w:val="24"/>
          <w:szCs w:val="24"/>
        </w:rPr>
        <w:t xml:space="preserve"> </w:t>
      </w:r>
    </w:p>
    <w:p w14:paraId="4F7CF75E" w14:textId="77777777" w:rsidR="00140BAD" w:rsidRDefault="00140BAD">
      <w:pPr>
        <w:rPr>
          <w:rFonts w:ascii="Tahoma" w:hAnsi="Tahoma" w:cs="Tahoma"/>
          <w:sz w:val="24"/>
          <w:szCs w:val="24"/>
        </w:rPr>
      </w:pPr>
    </w:p>
    <w:p w14:paraId="65EEB905" w14:textId="33CA0C78" w:rsidR="009E1A61" w:rsidRPr="0029749B" w:rsidRDefault="00C33881">
      <w:pPr>
        <w:rPr>
          <w:rFonts w:ascii="Tahoma" w:hAnsi="Tahoma" w:cs="Tahoma"/>
          <w:b/>
          <w:bCs/>
          <w:sz w:val="24"/>
          <w:szCs w:val="24"/>
        </w:rPr>
      </w:pPr>
      <w:r w:rsidRPr="0029749B">
        <w:rPr>
          <w:rFonts w:ascii="Tahoma" w:hAnsi="Tahoma" w:cs="Tahoma"/>
          <w:b/>
          <w:bCs/>
          <w:sz w:val="24"/>
          <w:szCs w:val="24"/>
        </w:rPr>
        <w:lastRenderedPageBreak/>
        <w:t>General</w:t>
      </w:r>
      <w:r w:rsidR="00140BAD">
        <w:rPr>
          <w:rFonts w:ascii="Tahoma" w:hAnsi="Tahoma" w:cs="Tahoma"/>
          <w:b/>
          <w:bCs/>
          <w:sz w:val="24"/>
          <w:szCs w:val="24"/>
        </w:rPr>
        <w:t xml:space="preserve"> recommendations</w:t>
      </w:r>
    </w:p>
    <w:p w14:paraId="6F2DF819" w14:textId="77777777" w:rsidR="00140BAD" w:rsidRPr="00140BAD" w:rsidRDefault="00140BAD" w:rsidP="00140BAD">
      <w:pPr>
        <w:rPr>
          <w:rFonts w:ascii="Tahoma" w:hAnsi="Tahoma" w:cs="Tahoma"/>
          <w:sz w:val="24"/>
          <w:szCs w:val="24"/>
        </w:rPr>
      </w:pPr>
      <w:r w:rsidRPr="00140BAD">
        <w:rPr>
          <w:rFonts w:ascii="Tahoma" w:hAnsi="Tahoma" w:cs="Tahoma"/>
          <w:b/>
          <w:color w:val="4472C4" w:themeColor="accent1"/>
          <w:sz w:val="24"/>
          <w:szCs w:val="24"/>
        </w:rPr>
        <w:t xml:space="preserve">CAS recommends: </w:t>
      </w:r>
    </w:p>
    <w:p w14:paraId="3FD4A78F" w14:textId="77777777" w:rsidR="00C33881" w:rsidRDefault="00C33881" w:rsidP="00C33881">
      <w:pPr>
        <w:pStyle w:val="paragraph"/>
        <w:numPr>
          <w:ilvl w:val="0"/>
          <w:numId w:val="21"/>
        </w:numPr>
        <w:spacing w:before="0" w:beforeAutospacing="0" w:after="0" w:afterAutospacing="0" w:line="276" w:lineRule="auto"/>
        <w:rPr>
          <w:rFonts w:asciiTheme="minorHAnsi" w:eastAsiaTheme="minorEastAsia" w:hAnsiTheme="minorHAnsi" w:cstheme="minorBidi"/>
        </w:rPr>
      </w:pPr>
      <w:r w:rsidRPr="2E32ED18">
        <w:rPr>
          <w:rFonts w:ascii="Tahoma" w:hAnsi="Tahoma" w:cs="Tahoma"/>
        </w:rPr>
        <w:t xml:space="preserve">Ensuring PRS tenants get support to keep their homes or move to homes that better suit them as we come out of the pandemic. </w:t>
      </w:r>
    </w:p>
    <w:p w14:paraId="5C2CF39C" w14:textId="77777777" w:rsidR="00C33881" w:rsidRDefault="00C33881" w:rsidP="00C33881">
      <w:pPr>
        <w:pStyle w:val="paragraph"/>
        <w:numPr>
          <w:ilvl w:val="0"/>
          <w:numId w:val="21"/>
        </w:numPr>
        <w:spacing w:before="0" w:beforeAutospacing="0" w:after="0" w:afterAutospacing="0" w:line="276" w:lineRule="auto"/>
      </w:pPr>
      <w:r w:rsidRPr="2E32ED18">
        <w:rPr>
          <w:rFonts w:ascii="Tahoma" w:hAnsi="Tahoma" w:cs="Tahoma"/>
        </w:rPr>
        <w:t>Using the opportunity of the new Rented Sector Strategy, Housing to 2040 and a new Housing Bill to fix longstanding issues for renters, exacerbated by the pandemic, especially around eviction rights and disputes with landlords.</w:t>
      </w:r>
    </w:p>
    <w:p w14:paraId="438A9FA2" w14:textId="77777777" w:rsidR="00C33881" w:rsidRDefault="00C33881" w:rsidP="00C33881">
      <w:pPr>
        <w:pStyle w:val="paragraph"/>
        <w:numPr>
          <w:ilvl w:val="0"/>
          <w:numId w:val="21"/>
        </w:numPr>
        <w:spacing w:before="0" w:beforeAutospacing="0" w:after="0" w:afterAutospacing="0" w:line="276" w:lineRule="auto"/>
      </w:pPr>
      <w:r w:rsidRPr="2E32ED18">
        <w:rPr>
          <w:rFonts w:ascii="Tahoma" w:hAnsi="Tahoma" w:cs="Tahoma"/>
        </w:rPr>
        <w:t>Improving transparency in the PRS through more and better data collection on housing quality and rent levels.</w:t>
      </w:r>
    </w:p>
    <w:p w14:paraId="41F9AB62" w14:textId="381ADC46" w:rsidR="00C33881" w:rsidRPr="00C33881" w:rsidRDefault="00C33881" w:rsidP="00C33881">
      <w:pPr>
        <w:pStyle w:val="ListParagraph"/>
        <w:numPr>
          <w:ilvl w:val="0"/>
          <w:numId w:val="21"/>
        </w:numPr>
        <w:rPr>
          <w:rFonts w:ascii="Tahoma" w:hAnsi="Tahoma" w:cs="Tahoma"/>
          <w:sz w:val="24"/>
          <w:szCs w:val="24"/>
        </w:rPr>
      </w:pPr>
      <w:r w:rsidRPr="00C33881">
        <w:rPr>
          <w:rFonts w:ascii="Tahoma" w:eastAsia="Times New Roman" w:hAnsi="Tahoma" w:cs="Tahoma"/>
          <w:sz w:val="24"/>
          <w:szCs w:val="24"/>
        </w:rPr>
        <w:t>Increasing access to truly affordable housing across all tenures, supported by a better shared definition of affordability.</w:t>
      </w:r>
    </w:p>
    <w:p w14:paraId="216C206E" w14:textId="042BA7F4" w:rsidR="00C33881" w:rsidRDefault="00C33881">
      <w:pPr>
        <w:rPr>
          <w:rFonts w:ascii="Tahoma" w:hAnsi="Tahoma" w:cs="Tahoma"/>
          <w:b/>
          <w:sz w:val="24"/>
          <w:szCs w:val="24"/>
        </w:rPr>
      </w:pPr>
    </w:p>
    <w:p w14:paraId="19D6DD49" w14:textId="2461DDD6" w:rsidR="00801993" w:rsidRDefault="00801993">
      <w:pPr>
        <w:rPr>
          <w:rFonts w:ascii="Tahoma" w:hAnsi="Tahoma" w:cs="Tahoma"/>
          <w:b/>
          <w:sz w:val="24"/>
          <w:szCs w:val="24"/>
        </w:rPr>
      </w:pPr>
      <w:r>
        <w:rPr>
          <w:rFonts w:ascii="Tahoma" w:hAnsi="Tahoma" w:cs="Tahoma"/>
          <w:b/>
          <w:sz w:val="24"/>
          <w:szCs w:val="24"/>
        </w:rPr>
        <w:t>Specific recommendations</w:t>
      </w:r>
    </w:p>
    <w:p w14:paraId="598814CF" w14:textId="77777777" w:rsidR="00801993" w:rsidRDefault="00801993">
      <w:pPr>
        <w:rPr>
          <w:rFonts w:ascii="Tahoma" w:hAnsi="Tahoma" w:cs="Tahoma"/>
          <w:b/>
          <w:sz w:val="24"/>
          <w:szCs w:val="24"/>
        </w:rPr>
      </w:pPr>
    </w:p>
    <w:p w14:paraId="2872A02E" w14:textId="549340A2" w:rsidR="00776326" w:rsidRPr="00C33881" w:rsidRDefault="00C33881">
      <w:pPr>
        <w:rPr>
          <w:rFonts w:ascii="Tahoma" w:hAnsi="Tahoma" w:cs="Tahoma"/>
          <w:b/>
          <w:sz w:val="24"/>
          <w:szCs w:val="24"/>
        </w:rPr>
      </w:pPr>
      <w:r>
        <w:rPr>
          <w:rFonts w:ascii="Tahoma" w:hAnsi="Tahoma" w:cs="Tahoma"/>
          <w:b/>
          <w:sz w:val="24"/>
          <w:szCs w:val="24"/>
        </w:rPr>
        <w:t>P</w:t>
      </w:r>
      <w:r w:rsidR="009635B3" w:rsidRPr="005B01E7">
        <w:rPr>
          <w:rFonts w:ascii="Tahoma" w:hAnsi="Tahoma" w:cs="Tahoma"/>
          <w:b/>
          <w:sz w:val="24"/>
          <w:szCs w:val="24"/>
        </w:rPr>
        <w:t>rivate rented sector</w:t>
      </w:r>
      <w:r>
        <w:rPr>
          <w:rFonts w:ascii="Tahoma" w:hAnsi="Tahoma" w:cs="Tahoma"/>
          <w:b/>
          <w:sz w:val="24"/>
          <w:szCs w:val="24"/>
        </w:rPr>
        <w:t xml:space="preserve"> </w:t>
      </w:r>
    </w:p>
    <w:p w14:paraId="275B8514" w14:textId="55012844" w:rsidR="009E1A61" w:rsidRDefault="00634F33">
      <w:pPr>
        <w:rPr>
          <w:rFonts w:ascii="Tahoma" w:hAnsi="Tahoma" w:cs="Tahoma"/>
          <w:sz w:val="24"/>
          <w:szCs w:val="24"/>
        </w:rPr>
      </w:pPr>
      <w:r w:rsidRPr="00615E9B">
        <w:rPr>
          <w:rFonts w:ascii="Tahoma" w:hAnsi="Tahoma" w:cs="Tahoma"/>
          <w:b/>
          <w:color w:val="4472C4" w:themeColor="accent1"/>
          <w:sz w:val="24"/>
          <w:szCs w:val="24"/>
        </w:rPr>
        <w:t>CAS recommends:</w:t>
      </w:r>
      <w:r w:rsidR="00C833EA" w:rsidRPr="00615E9B">
        <w:rPr>
          <w:rFonts w:ascii="Tahoma" w:hAnsi="Tahoma" w:cs="Tahoma"/>
          <w:b/>
          <w:color w:val="4472C4" w:themeColor="accent1"/>
          <w:sz w:val="24"/>
          <w:szCs w:val="24"/>
        </w:rPr>
        <w:t xml:space="preserve"> </w:t>
      </w:r>
    </w:p>
    <w:p w14:paraId="2F639BE9" w14:textId="3CA42774" w:rsidR="00442070" w:rsidRPr="00EE1E52" w:rsidRDefault="00442070">
      <w:pPr>
        <w:rPr>
          <w:rFonts w:ascii="Tahoma" w:hAnsi="Tahoma" w:cs="Tahoma"/>
          <w:b/>
          <w:sz w:val="24"/>
          <w:szCs w:val="24"/>
        </w:rPr>
      </w:pPr>
      <w:r w:rsidRPr="00EE1E52">
        <w:rPr>
          <w:rFonts w:ascii="Tahoma" w:hAnsi="Tahoma" w:cs="Tahoma"/>
          <w:sz w:val="24"/>
          <w:szCs w:val="24"/>
        </w:rPr>
        <w:t>Landlords and tenants</w:t>
      </w:r>
      <w:r w:rsidR="0079744D">
        <w:rPr>
          <w:rFonts w:ascii="Tahoma" w:hAnsi="Tahoma" w:cs="Tahoma"/>
          <w:sz w:val="24"/>
          <w:szCs w:val="24"/>
        </w:rPr>
        <w:t xml:space="preserve"> in the private and social rented sectors</w:t>
      </w:r>
      <w:r w:rsidRPr="00EE1E52">
        <w:rPr>
          <w:rFonts w:ascii="Tahoma" w:hAnsi="Tahoma" w:cs="Tahoma"/>
          <w:sz w:val="24"/>
          <w:szCs w:val="24"/>
        </w:rPr>
        <w:t xml:space="preserve"> should work together to quickly resolve outstanding maintenance issues now that most restrictions on works in homes have eased (unless the tenant is uncomfortable with this for health reasons</w:t>
      </w:r>
      <w:r w:rsidR="00776326">
        <w:rPr>
          <w:rFonts w:ascii="Tahoma" w:hAnsi="Tahoma" w:cs="Tahoma"/>
          <w:sz w:val="24"/>
          <w:szCs w:val="24"/>
        </w:rPr>
        <w:t>).</w:t>
      </w:r>
    </w:p>
    <w:p w14:paraId="276395F8" w14:textId="4917A14A" w:rsidR="00634F33" w:rsidRPr="00EE1E52" w:rsidRDefault="00C732E0" w:rsidP="009635B3">
      <w:pPr>
        <w:rPr>
          <w:rFonts w:ascii="Tahoma" w:hAnsi="Tahoma" w:cs="Tahoma"/>
          <w:bCs/>
          <w:sz w:val="24"/>
          <w:szCs w:val="24"/>
        </w:rPr>
      </w:pPr>
      <w:r w:rsidRPr="00EE1E52">
        <w:rPr>
          <w:rFonts w:ascii="Tahoma" w:hAnsi="Tahoma" w:cs="Tahoma"/>
          <w:bCs/>
          <w:sz w:val="24"/>
          <w:szCs w:val="24"/>
        </w:rPr>
        <w:t>Longer term, the Scottish Government should commit resources to awareness-raising, independent advice and improving the process of going through the First Tier Tribunal Housing and Property Chamber to help tenants and landlords understand and act on their rights and responsibilities.</w:t>
      </w:r>
      <w:r w:rsidRPr="00EE1E52">
        <w:rPr>
          <w:rFonts w:ascii="Tahoma" w:hAnsi="Tahoma" w:cs="Tahoma"/>
          <w:bCs/>
          <w:sz w:val="24"/>
          <w:szCs w:val="24"/>
        </w:rPr>
        <w:annotationRef/>
      </w:r>
    </w:p>
    <w:p w14:paraId="27C3F519" w14:textId="77777777" w:rsidR="00B11565" w:rsidRDefault="00B11565" w:rsidP="009635B3">
      <w:pPr>
        <w:rPr>
          <w:rFonts w:ascii="Tahoma" w:hAnsi="Tahoma" w:cs="Tahoma"/>
          <w:b/>
          <w:sz w:val="24"/>
          <w:szCs w:val="24"/>
        </w:rPr>
      </w:pPr>
    </w:p>
    <w:p w14:paraId="228065BA" w14:textId="30237539" w:rsidR="00EE1E52" w:rsidRPr="0079744D" w:rsidRDefault="009635B3" w:rsidP="00634F33">
      <w:pPr>
        <w:rPr>
          <w:rFonts w:ascii="Tahoma" w:hAnsi="Tahoma" w:cs="Tahoma"/>
          <w:b/>
          <w:sz w:val="24"/>
          <w:szCs w:val="24"/>
        </w:rPr>
      </w:pPr>
      <w:r w:rsidRPr="005B01E7">
        <w:rPr>
          <w:rFonts w:ascii="Tahoma" w:hAnsi="Tahoma" w:cs="Tahoma"/>
          <w:b/>
          <w:sz w:val="24"/>
          <w:szCs w:val="24"/>
        </w:rPr>
        <w:t xml:space="preserve">Environmental and neighbour </w:t>
      </w:r>
    </w:p>
    <w:p w14:paraId="1BB49BCD" w14:textId="2ED68178" w:rsidR="00634F33" w:rsidRPr="00FC2FB6" w:rsidRDefault="00634F33" w:rsidP="00634F33">
      <w:pPr>
        <w:rPr>
          <w:rFonts w:ascii="Tahoma" w:hAnsi="Tahoma" w:cs="Tahoma"/>
          <w:sz w:val="24"/>
          <w:szCs w:val="24"/>
        </w:rPr>
      </w:pPr>
      <w:r w:rsidRPr="00615E9B">
        <w:rPr>
          <w:rFonts w:ascii="Tahoma" w:hAnsi="Tahoma" w:cs="Tahoma"/>
          <w:b/>
          <w:color w:val="4472C4" w:themeColor="accent1"/>
          <w:sz w:val="24"/>
          <w:szCs w:val="24"/>
        </w:rPr>
        <w:t>CAS recommends:</w:t>
      </w:r>
      <w:r w:rsidR="00FC2FB6">
        <w:rPr>
          <w:rFonts w:ascii="Tahoma" w:hAnsi="Tahoma" w:cs="Tahoma"/>
          <w:b/>
          <w:color w:val="4472C4" w:themeColor="accent1"/>
          <w:sz w:val="24"/>
          <w:szCs w:val="24"/>
        </w:rPr>
        <w:t xml:space="preserve"> </w:t>
      </w:r>
      <w:r w:rsidR="00077409" w:rsidRPr="00077409">
        <w:rPr>
          <w:rFonts w:ascii="Tahoma" w:hAnsi="Tahoma" w:cs="Tahoma"/>
          <w:sz w:val="24"/>
          <w:szCs w:val="24"/>
        </w:rPr>
        <w:t>Local authorities, social and private landlords</w:t>
      </w:r>
      <w:r w:rsidR="00EE1E52">
        <w:rPr>
          <w:rFonts w:ascii="Tahoma" w:hAnsi="Tahoma" w:cs="Tahoma"/>
          <w:sz w:val="24"/>
          <w:szCs w:val="24"/>
        </w:rPr>
        <w:t xml:space="preserve"> should</w:t>
      </w:r>
      <w:r w:rsidR="00077409" w:rsidRPr="00077409">
        <w:rPr>
          <w:rFonts w:ascii="Tahoma" w:hAnsi="Tahoma" w:cs="Tahoma"/>
          <w:sz w:val="24"/>
          <w:szCs w:val="24"/>
        </w:rPr>
        <w:t xml:space="preserve"> be supportive of tenants facing antisocial behaviour and play a constructive role in helping resolve disputes.</w:t>
      </w:r>
      <w:r w:rsidR="00077409">
        <w:t xml:space="preserve"> </w:t>
      </w:r>
      <w:r w:rsidR="00077409">
        <w:rPr>
          <w:rStyle w:val="CommentReference"/>
        </w:rPr>
        <w:annotationRef/>
      </w:r>
    </w:p>
    <w:p w14:paraId="1D79E71C" w14:textId="77777777" w:rsidR="00A463E0" w:rsidRPr="005B01E7" w:rsidRDefault="00A463E0">
      <w:pPr>
        <w:rPr>
          <w:rFonts w:ascii="Tahoma" w:hAnsi="Tahoma" w:cs="Tahoma"/>
          <w:b/>
          <w:sz w:val="24"/>
          <w:szCs w:val="24"/>
        </w:rPr>
      </w:pPr>
    </w:p>
    <w:p w14:paraId="1F8783C4" w14:textId="14D2B463" w:rsidR="00FA68DC" w:rsidRPr="0079744D" w:rsidRDefault="003D5B4F">
      <w:pPr>
        <w:rPr>
          <w:rFonts w:ascii="Tahoma" w:hAnsi="Tahoma" w:cs="Tahoma"/>
          <w:b/>
          <w:sz w:val="24"/>
          <w:szCs w:val="24"/>
        </w:rPr>
      </w:pPr>
      <w:r>
        <w:rPr>
          <w:rFonts w:ascii="Tahoma" w:hAnsi="Tahoma" w:cs="Tahoma"/>
          <w:b/>
          <w:sz w:val="24"/>
          <w:szCs w:val="24"/>
        </w:rPr>
        <w:t>Local</w:t>
      </w:r>
      <w:r w:rsidR="009635B3" w:rsidRPr="005B01E7">
        <w:rPr>
          <w:rFonts w:ascii="Tahoma" w:hAnsi="Tahoma" w:cs="Tahoma"/>
          <w:b/>
          <w:sz w:val="24"/>
          <w:szCs w:val="24"/>
        </w:rPr>
        <w:t xml:space="preserve"> authority housing</w:t>
      </w:r>
    </w:p>
    <w:p w14:paraId="16E5252C" w14:textId="3F5C5025" w:rsidR="00A463E0" w:rsidRDefault="00A463E0">
      <w:pPr>
        <w:rPr>
          <w:rFonts w:ascii="Tahoma" w:hAnsi="Tahoma" w:cs="Tahoma"/>
          <w:sz w:val="24"/>
          <w:szCs w:val="24"/>
        </w:rPr>
      </w:pPr>
      <w:r w:rsidRPr="00AB4E6C">
        <w:rPr>
          <w:rFonts w:ascii="Tahoma" w:hAnsi="Tahoma" w:cs="Tahoma"/>
          <w:b/>
          <w:color w:val="4472C4" w:themeColor="accent1"/>
          <w:sz w:val="24"/>
          <w:szCs w:val="24"/>
        </w:rPr>
        <w:t>CAS recommends:</w:t>
      </w:r>
      <w:r w:rsidR="00052EB0">
        <w:rPr>
          <w:rFonts w:ascii="Tahoma" w:hAnsi="Tahoma" w:cs="Tahoma"/>
          <w:b/>
          <w:sz w:val="24"/>
          <w:szCs w:val="24"/>
        </w:rPr>
        <w:t xml:space="preserve"> </w:t>
      </w:r>
    </w:p>
    <w:p w14:paraId="6A335C12" w14:textId="5946DC10" w:rsidR="00776326" w:rsidRDefault="00776326" w:rsidP="00776326">
      <w:pPr>
        <w:rPr>
          <w:rFonts w:ascii="Tahoma" w:hAnsi="Tahoma" w:cs="Tahoma"/>
          <w:sz w:val="24"/>
          <w:szCs w:val="24"/>
        </w:rPr>
      </w:pPr>
      <w:r w:rsidRPr="00EE1E52">
        <w:rPr>
          <w:rFonts w:ascii="Tahoma" w:hAnsi="Tahoma" w:cs="Tahoma"/>
          <w:sz w:val="24"/>
          <w:szCs w:val="24"/>
        </w:rPr>
        <w:t>L</w:t>
      </w:r>
      <w:r>
        <w:rPr>
          <w:rFonts w:ascii="Tahoma" w:hAnsi="Tahoma" w:cs="Tahoma"/>
          <w:sz w:val="24"/>
          <w:szCs w:val="24"/>
        </w:rPr>
        <w:t>ocal authorities</w:t>
      </w:r>
      <w:r w:rsidRPr="00EE1E52">
        <w:rPr>
          <w:rFonts w:ascii="Tahoma" w:hAnsi="Tahoma" w:cs="Tahoma"/>
          <w:sz w:val="24"/>
          <w:szCs w:val="24"/>
        </w:rPr>
        <w:t xml:space="preserve"> and tenants should work together to quickly resolve outstanding maintenance issues now that most restrictions on works in homes have eased (unless the tenant is uncomfortable with this for health reasons</w:t>
      </w:r>
      <w:r>
        <w:rPr>
          <w:rFonts w:ascii="Tahoma" w:hAnsi="Tahoma" w:cs="Tahoma"/>
          <w:sz w:val="24"/>
          <w:szCs w:val="24"/>
        </w:rPr>
        <w:t>).</w:t>
      </w:r>
    </w:p>
    <w:p w14:paraId="0E752A9B" w14:textId="3FF03927" w:rsidR="00BC1D18" w:rsidRDefault="00BC1D18" w:rsidP="00776326">
      <w:pPr>
        <w:rPr>
          <w:rFonts w:ascii="Tahoma" w:hAnsi="Tahoma" w:cs="Tahoma"/>
          <w:sz w:val="24"/>
          <w:szCs w:val="24"/>
        </w:rPr>
      </w:pPr>
    </w:p>
    <w:p w14:paraId="3FFBC330" w14:textId="725EF468" w:rsidR="00615E04" w:rsidRPr="00752F8A" w:rsidRDefault="00BC1D18" w:rsidP="00615E04">
      <w:pPr>
        <w:rPr>
          <w:rFonts w:ascii="Tahoma" w:hAnsi="Tahoma" w:cs="Tahoma"/>
          <w:b/>
          <w:bCs/>
          <w:sz w:val="24"/>
          <w:szCs w:val="24"/>
        </w:rPr>
      </w:pPr>
      <w:r w:rsidRPr="00615E04">
        <w:rPr>
          <w:rFonts w:ascii="Tahoma" w:hAnsi="Tahoma" w:cs="Tahoma"/>
          <w:b/>
          <w:bCs/>
          <w:sz w:val="24"/>
          <w:szCs w:val="24"/>
        </w:rPr>
        <w:t>RSL housing</w:t>
      </w:r>
    </w:p>
    <w:p w14:paraId="387BCEF2" w14:textId="77777777" w:rsidR="00615E04" w:rsidRDefault="00615E04" w:rsidP="00615E04">
      <w:pPr>
        <w:rPr>
          <w:rFonts w:ascii="Tahoma" w:hAnsi="Tahoma" w:cs="Tahoma"/>
          <w:sz w:val="24"/>
          <w:szCs w:val="24"/>
        </w:rPr>
      </w:pPr>
      <w:r w:rsidRPr="00AB4E6C">
        <w:rPr>
          <w:rFonts w:ascii="Tahoma" w:hAnsi="Tahoma" w:cs="Tahoma"/>
          <w:b/>
          <w:color w:val="4472C4" w:themeColor="accent1"/>
          <w:sz w:val="24"/>
          <w:szCs w:val="24"/>
        </w:rPr>
        <w:lastRenderedPageBreak/>
        <w:t>CAS recommends:</w:t>
      </w:r>
      <w:r>
        <w:rPr>
          <w:rFonts w:ascii="Tahoma" w:hAnsi="Tahoma" w:cs="Tahoma"/>
          <w:b/>
          <w:sz w:val="24"/>
          <w:szCs w:val="24"/>
        </w:rPr>
        <w:t xml:space="preserve"> </w:t>
      </w:r>
    </w:p>
    <w:p w14:paraId="00BEF0D6" w14:textId="320EB3FF" w:rsidR="00615E04" w:rsidRDefault="00615E04" w:rsidP="00615E04">
      <w:pPr>
        <w:rPr>
          <w:rFonts w:ascii="Tahoma" w:hAnsi="Tahoma" w:cs="Tahoma"/>
          <w:bCs/>
          <w:sz w:val="24"/>
          <w:szCs w:val="24"/>
        </w:rPr>
      </w:pPr>
      <w:r w:rsidRPr="00615E04">
        <w:rPr>
          <w:rFonts w:ascii="Tahoma" w:hAnsi="Tahoma" w:cs="Tahoma"/>
          <w:bCs/>
          <w:sz w:val="24"/>
          <w:szCs w:val="24"/>
        </w:rPr>
        <w:t>RSLs and tenants should work together to quickly resolve outstanding complaints</w:t>
      </w:r>
      <w:r>
        <w:rPr>
          <w:rFonts w:ascii="Tahoma" w:hAnsi="Tahoma" w:cs="Tahoma"/>
          <w:bCs/>
          <w:sz w:val="24"/>
          <w:szCs w:val="24"/>
        </w:rPr>
        <w:t xml:space="preserve">, </w:t>
      </w:r>
      <w:r w:rsidR="1CF18573" w:rsidRPr="11EC7659">
        <w:rPr>
          <w:rFonts w:ascii="Tahoma" w:hAnsi="Tahoma" w:cs="Tahoma"/>
          <w:sz w:val="24"/>
          <w:szCs w:val="24"/>
        </w:rPr>
        <w:t>to prevent further breakdown in relationships and/or repairs issues worsening.</w:t>
      </w:r>
      <w:r w:rsidRPr="11EC7659">
        <w:rPr>
          <w:rFonts w:ascii="Tahoma" w:hAnsi="Tahoma" w:cs="Tahoma"/>
          <w:sz w:val="24"/>
          <w:szCs w:val="24"/>
        </w:rPr>
        <w:t xml:space="preserve"> </w:t>
      </w:r>
      <w:r w:rsidR="034C0696" w:rsidRPr="11EC7659">
        <w:rPr>
          <w:rFonts w:ascii="Tahoma" w:hAnsi="Tahoma" w:cs="Tahoma"/>
          <w:sz w:val="24"/>
          <w:szCs w:val="24"/>
        </w:rPr>
        <w:t>T</w:t>
      </w:r>
      <w:r w:rsidRPr="11EC7659">
        <w:rPr>
          <w:rFonts w:ascii="Tahoma" w:hAnsi="Tahoma" w:cs="Tahoma"/>
          <w:sz w:val="24"/>
          <w:szCs w:val="24"/>
        </w:rPr>
        <w:t>enants</w:t>
      </w:r>
      <w:r>
        <w:rPr>
          <w:rFonts w:ascii="Tahoma" w:hAnsi="Tahoma" w:cs="Tahoma"/>
          <w:bCs/>
          <w:sz w:val="24"/>
          <w:szCs w:val="24"/>
        </w:rPr>
        <w:t xml:space="preserve"> have the right to live safely and comfortably in their homes.</w:t>
      </w:r>
    </w:p>
    <w:p w14:paraId="3AFC4AAD" w14:textId="77777777" w:rsidR="00615E04" w:rsidRPr="00615E04" w:rsidRDefault="00615E04" w:rsidP="00615E04">
      <w:pPr>
        <w:rPr>
          <w:rFonts w:ascii="Tahoma" w:hAnsi="Tahoma" w:cs="Tahoma"/>
          <w:bCs/>
          <w:sz w:val="24"/>
          <w:szCs w:val="24"/>
        </w:rPr>
      </w:pPr>
    </w:p>
    <w:p w14:paraId="62251B78" w14:textId="3FD32DB2" w:rsidR="003744D1" w:rsidRDefault="009E1A61">
      <w:pPr>
        <w:rPr>
          <w:rFonts w:ascii="Tahoma" w:hAnsi="Tahoma" w:cs="Tahoma"/>
          <w:b/>
          <w:sz w:val="24"/>
          <w:szCs w:val="24"/>
        </w:rPr>
      </w:pPr>
      <w:r w:rsidRPr="005B01E7">
        <w:rPr>
          <w:rFonts w:ascii="Tahoma" w:hAnsi="Tahoma" w:cs="Tahoma"/>
          <w:b/>
          <w:sz w:val="24"/>
          <w:szCs w:val="24"/>
        </w:rPr>
        <w:t>H</w:t>
      </w:r>
      <w:r w:rsidR="009635B3" w:rsidRPr="005B01E7">
        <w:rPr>
          <w:rFonts w:ascii="Tahoma" w:hAnsi="Tahoma" w:cs="Tahoma"/>
          <w:b/>
          <w:sz w:val="24"/>
          <w:szCs w:val="24"/>
        </w:rPr>
        <w:t>omelessness</w:t>
      </w:r>
      <w:r w:rsidR="00035B91">
        <w:rPr>
          <w:rFonts w:ascii="Tahoma" w:hAnsi="Tahoma" w:cs="Tahoma"/>
          <w:b/>
          <w:sz w:val="24"/>
          <w:szCs w:val="24"/>
        </w:rPr>
        <w:t xml:space="preserve"> </w:t>
      </w:r>
    </w:p>
    <w:p w14:paraId="4EB1A0A3" w14:textId="77777777" w:rsidR="002D189D" w:rsidRDefault="00A463E0">
      <w:pPr>
        <w:rPr>
          <w:rFonts w:ascii="Tahoma" w:hAnsi="Tahoma" w:cs="Tahoma"/>
          <w:sz w:val="24"/>
          <w:szCs w:val="24"/>
        </w:rPr>
      </w:pPr>
      <w:r w:rsidRPr="00AB4E6C">
        <w:rPr>
          <w:rFonts w:ascii="Tahoma" w:hAnsi="Tahoma" w:cs="Tahoma"/>
          <w:b/>
          <w:color w:val="4472C4" w:themeColor="accent1"/>
          <w:sz w:val="24"/>
          <w:szCs w:val="24"/>
        </w:rPr>
        <w:t>CAS recommends:</w:t>
      </w:r>
      <w:r w:rsidR="005F590B">
        <w:rPr>
          <w:rFonts w:ascii="Tahoma" w:hAnsi="Tahoma" w:cs="Tahoma"/>
          <w:b/>
          <w:color w:val="4472C4" w:themeColor="accent1"/>
          <w:sz w:val="24"/>
          <w:szCs w:val="24"/>
        </w:rPr>
        <w:t xml:space="preserve"> </w:t>
      </w:r>
    </w:p>
    <w:p w14:paraId="01108BAA" w14:textId="704CD5C4" w:rsidR="00A463E0" w:rsidRPr="002D189D" w:rsidRDefault="002D189D">
      <w:pPr>
        <w:rPr>
          <w:rFonts w:ascii="Tahoma" w:hAnsi="Tahoma" w:cs="Tahoma"/>
          <w:sz w:val="24"/>
          <w:szCs w:val="24"/>
        </w:rPr>
      </w:pPr>
      <w:r w:rsidRPr="0049181A">
        <w:rPr>
          <w:rFonts w:ascii="Tahoma" w:hAnsi="Tahoma" w:cs="Tahoma"/>
          <w:sz w:val="24"/>
          <w:szCs w:val="24"/>
        </w:rPr>
        <w:t xml:space="preserve">The Scottish Government should work with local authorities and advice services to assess the number of people facing homelessness, understand any additional barriers to support during the pandemic and seek to overcome them. </w:t>
      </w:r>
      <w:r w:rsidRPr="0049181A">
        <w:rPr>
          <w:rFonts w:ascii="Tahoma" w:hAnsi="Tahoma" w:cs="Tahoma"/>
          <w:sz w:val="24"/>
          <w:szCs w:val="24"/>
        </w:rPr>
        <w:annotationRef/>
      </w:r>
    </w:p>
    <w:p w14:paraId="75B86D7F" w14:textId="3427F295" w:rsidR="00503058" w:rsidRPr="0049181A" w:rsidRDefault="002D189D">
      <w:pPr>
        <w:rPr>
          <w:rFonts w:ascii="Tahoma" w:hAnsi="Tahoma" w:cs="Tahoma"/>
          <w:sz w:val="24"/>
          <w:szCs w:val="24"/>
        </w:rPr>
      </w:pPr>
      <w:r w:rsidRPr="0049181A">
        <w:rPr>
          <w:rFonts w:ascii="Tahoma" w:hAnsi="Tahoma" w:cs="Tahoma"/>
          <w:sz w:val="24"/>
          <w:szCs w:val="24"/>
        </w:rPr>
        <w:t xml:space="preserve">Second recommendation: In order to prevent homelessness in future, SG should ensure there is no gap in protections between now and when the PARs are made permanent, and commit to continuing to make eviction grounds discretionary on a permanent basis. </w:t>
      </w:r>
    </w:p>
    <w:p w14:paraId="4B6CE4C2" w14:textId="77777777" w:rsidR="002D189D" w:rsidRDefault="002D189D" w:rsidP="009635B3">
      <w:pPr>
        <w:rPr>
          <w:rFonts w:ascii="Tahoma" w:hAnsi="Tahoma" w:cs="Tahoma"/>
          <w:b/>
          <w:sz w:val="24"/>
          <w:szCs w:val="24"/>
        </w:rPr>
      </w:pPr>
    </w:p>
    <w:p w14:paraId="60820CDA" w14:textId="238CDF81" w:rsidR="009635B3" w:rsidRDefault="00F22FA2" w:rsidP="009635B3">
      <w:pPr>
        <w:rPr>
          <w:rFonts w:ascii="Tahoma" w:hAnsi="Tahoma" w:cs="Tahoma"/>
          <w:b/>
          <w:sz w:val="24"/>
          <w:szCs w:val="24"/>
        </w:rPr>
      </w:pPr>
      <w:r>
        <w:rPr>
          <w:rFonts w:ascii="Tahoma" w:hAnsi="Tahoma" w:cs="Tahoma"/>
          <w:b/>
          <w:sz w:val="24"/>
          <w:szCs w:val="24"/>
        </w:rPr>
        <w:t>H</w:t>
      </w:r>
      <w:r w:rsidR="009635B3" w:rsidRPr="005B01E7">
        <w:rPr>
          <w:rFonts w:ascii="Tahoma" w:hAnsi="Tahoma" w:cs="Tahoma"/>
          <w:b/>
          <w:sz w:val="24"/>
          <w:szCs w:val="24"/>
        </w:rPr>
        <w:t>ousing cost arrears</w:t>
      </w:r>
      <w:r w:rsidR="00C33881">
        <w:rPr>
          <w:rFonts w:ascii="Tahoma" w:hAnsi="Tahoma" w:cs="Tahoma"/>
          <w:b/>
          <w:sz w:val="24"/>
          <w:szCs w:val="24"/>
        </w:rPr>
        <w:t xml:space="preserve"> </w:t>
      </w:r>
    </w:p>
    <w:p w14:paraId="60099289" w14:textId="77777777" w:rsidR="00752F8A" w:rsidRDefault="00A463E0" w:rsidP="295D62F4">
      <w:pPr>
        <w:rPr>
          <w:rFonts w:ascii="Tahoma" w:hAnsi="Tahoma" w:cs="Tahoma"/>
          <w:b/>
          <w:bCs/>
          <w:color w:val="4472C4" w:themeColor="accent1"/>
          <w:sz w:val="24"/>
          <w:szCs w:val="24"/>
        </w:rPr>
      </w:pPr>
      <w:r w:rsidRPr="2E32ED18">
        <w:rPr>
          <w:rFonts w:ascii="Tahoma" w:hAnsi="Tahoma" w:cs="Tahoma"/>
          <w:b/>
          <w:bCs/>
          <w:color w:val="4472C4" w:themeColor="accent1"/>
          <w:sz w:val="24"/>
          <w:szCs w:val="24"/>
        </w:rPr>
        <w:t>CAS recommends:</w:t>
      </w:r>
      <w:r w:rsidR="00995614" w:rsidRPr="2E32ED18">
        <w:rPr>
          <w:rFonts w:ascii="Tahoma" w:hAnsi="Tahoma" w:cs="Tahoma"/>
          <w:b/>
          <w:bCs/>
          <w:color w:val="4472C4" w:themeColor="accent1"/>
          <w:sz w:val="24"/>
          <w:szCs w:val="24"/>
        </w:rPr>
        <w:t xml:space="preserve"> </w:t>
      </w:r>
    </w:p>
    <w:p w14:paraId="2A136461" w14:textId="6A478023" w:rsidR="00A463E0" w:rsidRPr="00995614" w:rsidRDefault="00657C34" w:rsidP="295D62F4">
      <w:pPr>
        <w:rPr>
          <w:rFonts w:ascii="Tahoma" w:hAnsi="Tahoma" w:cs="Tahoma"/>
          <w:sz w:val="24"/>
          <w:szCs w:val="24"/>
        </w:rPr>
      </w:pPr>
      <w:r w:rsidRPr="2E32ED18">
        <w:rPr>
          <w:rFonts w:ascii="Tahoma" w:hAnsi="Tahoma" w:cs="Tahoma"/>
          <w:sz w:val="24"/>
          <w:szCs w:val="24"/>
        </w:rPr>
        <w:t xml:space="preserve">The Scottish Government should plan, deliver and monitor uptake of </w:t>
      </w:r>
      <w:r w:rsidRPr="612456F0">
        <w:rPr>
          <w:rFonts w:ascii="Tahoma" w:hAnsi="Tahoma" w:cs="Tahoma"/>
          <w:sz w:val="24"/>
          <w:szCs w:val="24"/>
        </w:rPr>
        <w:t>th</w:t>
      </w:r>
      <w:r w:rsidR="47788D32" w:rsidRPr="612456F0">
        <w:rPr>
          <w:rFonts w:ascii="Tahoma" w:hAnsi="Tahoma" w:cs="Tahoma"/>
          <w:sz w:val="24"/>
          <w:szCs w:val="24"/>
        </w:rPr>
        <w:t>e</w:t>
      </w:r>
      <w:r w:rsidRPr="2E32ED18">
        <w:rPr>
          <w:rFonts w:ascii="Tahoma" w:hAnsi="Tahoma" w:cs="Tahoma"/>
          <w:sz w:val="24"/>
          <w:szCs w:val="24"/>
        </w:rPr>
        <w:t xml:space="preserve"> </w:t>
      </w:r>
      <w:r w:rsidR="412431FF" w:rsidRPr="3263BFB0">
        <w:rPr>
          <w:rFonts w:ascii="Tahoma" w:hAnsi="Tahoma" w:cs="Tahoma"/>
          <w:sz w:val="24"/>
          <w:szCs w:val="24"/>
        </w:rPr>
        <w:t xml:space="preserve">new Tenant </w:t>
      </w:r>
      <w:r w:rsidR="6542D8B8" w:rsidRPr="27838C10">
        <w:rPr>
          <w:rFonts w:ascii="Tahoma" w:hAnsi="Tahoma" w:cs="Tahoma"/>
          <w:sz w:val="24"/>
          <w:szCs w:val="24"/>
        </w:rPr>
        <w:t>G</w:t>
      </w:r>
      <w:r w:rsidRPr="27838C10">
        <w:rPr>
          <w:rFonts w:ascii="Tahoma" w:hAnsi="Tahoma" w:cs="Tahoma"/>
          <w:sz w:val="24"/>
          <w:szCs w:val="24"/>
        </w:rPr>
        <w:t>rant</w:t>
      </w:r>
      <w:r w:rsidRPr="2E32ED18">
        <w:rPr>
          <w:rFonts w:ascii="Tahoma" w:hAnsi="Tahoma" w:cs="Tahoma"/>
          <w:sz w:val="24"/>
          <w:szCs w:val="24"/>
        </w:rPr>
        <w:t xml:space="preserve"> </w:t>
      </w:r>
      <w:r w:rsidR="124B9BF7" w:rsidRPr="63D1725C">
        <w:rPr>
          <w:rFonts w:ascii="Tahoma" w:hAnsi="Tahoma" w:cs="Tahoma"/>
          <w:sz w:val="24"/>
          <w:szCs w:val="24"/>
        </w:rPr>
        <w:t>F</w:t>
      </w:r>
      <w:r w:rsidRPr="2E32ED18">
        <w:rPr>
          <w:rFonts w:ascii="Tahoma" w:hAnsi="Tahoma" w:cs="Tahoma"/>
          <w:sz w:val="24"/>
          <w:szCs w:val="24"/>
        </w:rPr>
        <w:t xml:space="preserve">und to ensure it is meeting the needs of renters who </w:t>
      </w:r>
      <w:r w:rsidR="00254EE0" w:rsidRPr="2E32ED18">
        <w:rPr>
          <w:rFonts w:ascii="Tahoma" w:hAnsi="Tahoma" w:cs="Tahoma"/>
          <w:sz w:val="24"/>
          <w:szCs w:val="24"/>
        </w:rPr>
        <w:t xml:space="preserve">have struggled during the pandemic. </w:t>
      </w:r>
    </w:p>
    <w:p w14:paraId="426AA79C" w14:textId="77777777" w:rsidR="005017E4" w:rsidRDefault="00254EE0" w:rsidP="00A463E0">
      <w:pPr>
        <w:rPr>
          <w:rFonts w:ascii="Tahoma" w:hAnsi="Tahoma" w:cs="Tahoma"/>
          <w:sz w:val="24"/>
          <w:szCs w:val="24"/>
        </w:rPr>
      </w:pPr>
      <w:r w:rsidRPr="2E32ED18">
        <w:rPr>
          <w:rFonts w:ascii="Tahoma" w:hAnsi="Tahoma" w:cs="Tahoma"/>
          <w:sz w:val="24"/>
          <w:szCs w:val="24"/>
        </w:rPr>
        <w:t xml:space="preserve">The Scottish Government should also consider what </w:t>
      </w:r>
      <w:r w:rsidR="47823281" w:rsidRPr="295D62F4">
        <w:rPr>
          <w:rFonts w:ascii="Tahoma" w:hAnsi="Tahoma" w:cs="Tahoma"/>
          <w:sz w:val="24"/>
          <w:szCs w:val="24"/>
        </w:rPr>
        <w:t>additional</w:t>
      </w:r>
      <w:r w:rsidRPr="2E32ED18">
        <w:rPr>
          <w:rFonts w:ascii="Tahoma" w:hAnsi="Tahoma" w:cs="Tahoma"/>
          <w:sz w:val="24"/>
          <w:szCs w:val="24"/>
        </w:rPr>
        <w:t xml:space="preserve"> steps should be taken to </w:t>
      </w:r>
      <w:r w:rsidR="00F40FD7" w:rsidRPr="2E32ED18">
        <w:rPr>
          <w:rFonts w:ascii="Tahoma" w:hAnsi="Tahoma" w:cs="Tahoma"/>
          <w:sz w:val="24"/>
          <w:szCs w:val="24"/>
        </w:rPr>
        <w:t>support renters as furlough</w:t>
      </w:r>
      <w:r w:rsidR="63E5B731" w:rsidRPr="2E32ED18">
        <w:rPr>
          <w:rFonts w:ascii="Tahoma" w:hAnsi="Tahoma" w:cs="Tahoma"/>
          <w:sz w:val="24"/>
          <w:szCs w:val="24"/>
        </w:rPr>
        <w:t xml:space="preserve"> ends</w:t>
      </w:r>
      <w:r w:rsidR="00F40FD7" w:rsidRPr="2E32ED18">
        <w:rPr>
          <w:rFonts w:ascii="Tahoma" w:hAnsi="Tahoma" w:cs="Tahoma"/>
          <w:sz w:val="24"/>
          <w:szCs w:val="24"/>
        </w:rPr>
        <w:t xml:space="preserve"> and the </w:t>
      </w:r>
      <w:r w:rsidR="203A44FA" w:rsidRPr="2E32ED18">
        <w:rPr>
          <w:rFonts w:ascii="Tahoma" w:hAnsi="Tahoma" w:cs="Tahoma"/>
          <w:sz w:val="24"/>
          <w:szCs w:val="24"/>
        </w:rPr>
        <w:t xml:space="preserve">proposed </w:t>
      </w:r>
      <w:r w:rsidR="00F40FD7" w:rsidRPr="2E32ED18">
        <w:rPr>
          <w:rFonts w:ascii="Tahoma" w:hAnsi="Tahoma" w:cs="Tahoma"/>
          <w:sz w:val="24"/>
          <w:szCs w:val="24"/>
        </w:rPr>
        <w:t xml:space="preserve">£20 </w:t>
      </w:r>
      <w:r w:rsidR="356AE5B1" w:rsidRPr="2E32ED18">
        <w:rPr>
          <w:rFonts w:ascii="Tahoma" w:hAnsi="Tahoma" w:cs="Tahoma"/>
          <w:sz w:val="24"/>
          <w:szCs w:val="24"/>
        </w:rPr>
        <w:t xml:space="preserve">a week cut </w:t>
      </w:r>
      <w:r w:rsidR="00F40FD7" w:rsidRPr="2E32ED18">
        <w:rPr>
          <w:rFonts w:ascii="Tahoma" w:hAnsi="Tahoma" w:cs="Tahoma"/>
          <w:sz w:val="24"/>
          <w:szCs w:val="24"/>
        </w:rPr>
        <w:t xml:space="preserve">to Universal Credit </w:t>
      </w:r>
      <w:r w:rsidR="374928EC" w:rsidRPr="2E32ED18">
        <w:rPr>
          <w:rFonts w:ascii="Tahoma" w:hAnsi="Tahoma" w:cs="Tahoma"/>
          <w:sz w:val="24"/>
          <w:szCs w:val="24"/>
        </w:rPr>
        <w:t xml:space="preserve">is due </w:t>
      </w:r>
      <w:r w:rsidR="00F40FD7" w:rsidRPr="2E32ED18">
        <w:rPr>
          <w:rFonts w:ascii="Tahoma" w:hAnsi="Tahoma" w:cs="Tahoma"/>
          <w:sz w:val="24"/>
          <w:szCs w:val="24"/>
        </w:rPr>
        <w:t>to end in Autumn 2021.</w:t>
      </w:r>
    </w:p>
    <w:p w14:paraId="4B3DDAE1" w14:textId="38F59DDB" w:rsidR="00D75F0C" w:rsidRDefault="005017E4" w:rsidP="00A463E0">
      <w:pPr>
        <w:rPr>
          <w:rFonts w:ascii="Tahoma" w:hAnsi="Tahoma" w:cs="Tahoma"/>
          <w:sz w:val="24"/>
          <w:szCs w:val="24"/>
        </w:rPr>
      </w:pPr>
      <w:r>
        <w:rPr>
          <w:rFonts w:ascii="Tahoma" w:hAnsi="Tahoma" w:cs="Tahoma"/>
          <w:sz w:val="24"/>
          <w:szCs w:val="24"/>
        </w:rPr>
        <w:t xml:space="preserve">The Scottish Government should ensure </w:t>
      </w:r>
      <w:r w:rsidRPr="005017E4">
        <w:rPr>
          <w:rFonts w:ascii="Tahoma" w:hAnsi="Tahoma" w:cs="Tahoma"/>
          <w:sz w:val="24"/>
          <w:szCs w:val="24"/>
        </w:rPr>
        <w:t>adequate DHP funding is available and local authorities to make sure DHP are available</w:t>
      </w:r>
      <w:r w:rsidR="00D75F0C">
        <w:rPr>
          <w:rFonts w:ascii="Tahoma" w:hAnsi="Tahoma" w:cs="Tahoma"/>
          <w:sz w:val="24"/>
          <w:szCs w:val="24"/>
        </w:rPr>
        <w:t xml:space="preserve"> and </w:t>
      </w:r>
      <w:r w:rsidRPr="005017E4">
        <w:rPr>
          <w:rFonts w:ascii="Tahoma" w:hAnsi="Tahoma" w:cs="Tahoma"/>
          <w:sz w:val="24"/>
          <w:szCs w:val="24"/>
        </w:rPr>
        <w:t xml:space="preserve">accessible to those who are struggling to meet their housing costs. </w:t>
      </w:r>
      <w:r w:rsidRPr="005017E4">
        <w:rPr>
          <w:rFonts w:ascii="Tahoma" w:hAnsi="Tahoma" w:cs="Tahoma"/>
          <w:sz w:val="24"/>
          <w:szCs w:val="24"/>
        </w:rPr>
        <w:annotationRef/>
      </w:r>
    </w:p>
    <w:p w14:paraId="57073473" w14:textId="36FE9B67" w:rsidR="00404C51" w:rsidRPr="00893002" w:rsidRDefault="00D75F0C" w:rsidP="00A463E0">
      <w:pPr>
        <w:rPr>
          <w:rFonts w:ascii="Tahoma" w:hAnsi="Tahoma" w:cs="Tahoma"/>
          <w:sz w:val="24"/>
          <w:szCs w:val="24"/>
        </w:rPr>
      </w:pPr>
      <w:r w:rsidRPr="00893002">
        <w:rPr>
          <w:rFonts w:ascii="Tahoma" w:hAnsi="Tahoma" w:cs="Tahoma"/>
          <w:sz w:val="24"/>
          <w:szCs w:val="24"/>
        </w:rPr>
        <w:t xml:space="preserve">In the </w:t>
      </w:r>
      <w:r w:rsidR="00206A5B" w:rsidRPr="00893002">
        <w:rPr>
          <w:rFonts w:ascii="Tahoma" w:hAnsi="Tahoma" w:cs="Tahoma"/>
          <w:sz w:val="24"/>
          <w:szCs w:val="24"/>
        </w:rPr>
        <w:t>medium</w:t>
      </w:r>
      <w:r w:rsidRPr="00893002">
        <w:rPr>
          <w:rFonts w:ascii="Tahoma" w:hAnsi="Tahoma" w:cs="Tahoma"/>
          <w:sz w:val="24"/>
          <w:szCs w:val="24"/>
        </w:rPr>
        <w:t xml:space="preserve"> term, </w:t>
      </w:r>
      <w:r w:rsidR="00587CCF" w:rsidRPr="00893002">
        <w:rPr>
          <w:rFonts w:ascii="Tahoma" w:hAnsi="Tahoma" w:cs="Tahoma"/>
          <w:sz w:val="24"/>
          <w:szCs w:val="24"/>
        </w:rPr>
        <w:t xml:space="preserve">the Scottish Government should work to </w:t>
      </w:r>
      <w:r w:rsidRPr="00893002">
        <w:rPr>
          <w:rFonts w:ascii="Tahoma" w:hAnsi="Tahoma" w:cs="Tahoma"/>
          <w:sz w:val="24"/>
          <w:szCs w:val="24"/>
        </w:rPr>
        <w:t xml:space="preserve">better understand what role high housing costs might play in causing arrears by introducing a rent register to improve transparency in the Private Rented Sector. </w:t>
      </w:r>
      <w:r w:rsidRPr="00893002">
        <w:rPr>
          <w:rFonts w:ascii="Tahoma" w:hAnsi="Tahoma" w:cs="Tahoma"/>
          <w:sz w:val="24"/>
          <w:szCs w:val="24"/>
        </w:rPr>
        <w:annotationRef/>
      </w:r>
    </w:p>
    <w:p w14:paraId="40B45F24" w14:textId="0DA46A91" w:rsidR="00A463E0" w:rsidRPr="00995614" w:rsidRDefault="00404C51" w:rsidP="00A463E0">
      <w:pPr>
        <w:rPr>
          <w:rFonts w:ascii="Tahoma" w:hAnsi="Tahoma" w:cs="Tahoma"/>
          <w:sz w:val="24"/>
          <w:szCs w:val="24"/>
        </w:rPr>
      </w:pPr>
      <w:r w:rsidRPr="00893002">
        <w:rPr>
          <w:rFonts w:ascii="Tahoma" w:hAnsi="Tahoma" w:cs="Tahoma"/>
          <w:sz w:val="24"/>
          <w:szCs w:val="24"/>
        </w:rPr>
        <w:t xml:space="preserve">In the longer term, work to improve availability of truly affordable housing across all tenures, so that people are less at risk of arrears from unaffordable housing costs. </w:t>
      </w:r>
      <w:r w:rsidRPr="00893002">
        <w:rPr>
          <w:rFonts w:ascii="Tahoma" w:hAnsi="Tahoma" w:cs="Tahoma"/>
          <w:sz w:val="24"/>
          <w:szCs w:val="24"/>
        </w:rPr>
        <w:annotationRef/>
      </w:r>
    </w:p>
    <w:p w14:paraId="6D5D056B" w14:textId="16C74566" w:rsidR="00752F8A" w:rsidRDefault="00752F8A">
      <w:pPr>
        <w:rPr>
          <w:b/>
        </w:rPr>
      </w:pPr>
    </w:p>
    <w:p w14:paraId="75BE2521" w14:textId="1AA36358" w:rsidR="00C33881" w:rsidRDefault="00C33881">
      <w:pPr>
        <w:rPr>
          <w:b/>
        </w:rPr>
      </w:pPr>
    </w:p>
    <w:p w14:paraId="0926E04B" w14:textId="33774F00" w:rsidR="00C33881" w:rsidRDefault="00C33881">
      <w:pPr>
        <w:rPr>
          <w:b/>
        </w:rPr>
      </w:pPr>
    </w:p>
    <w:p w14:paraId="031E7DDB" w14:textId="43CEFFA4" w:rsidR="00C33881" w:rsidRDefault="00C33881">
      <w:pPr>
        <w:rPr>
          <w:b/>
        </w:rPr>
      </w:pPr>
    </w:p>
    <w:p w14:paraId="7732228D" w14:textId="5964623F" w:rsidR="00C33881" w:rsidRDefault="00C33881">
      <w:pPr>
        <w:rPr>
          <w:b/>
        </w:rPr>
      </w:pPr>
    </w:p>
    <w:p w14:paraId="7B1A01CB" w14:textId="2FC3D311" w:rsidR="00C33881" w:rsidRDefault="00C33881">
      <w:pPr>
        <w:rPr>
          <w:b/>
        </w:rPr>
      </w:pPr>
    </w:p>
    <w:p w14:paraId="0684F2A5" w14:textId="355D51A6" w:rsidR="00C33881" w:rsidRDefault="00C33881">
      <w:pPr>
        <w:rPr>
          <w:b/>
        </w:rPr>
      </w:pPr>
    </w:p>
    <w:p w14:paraId="58121F80" w14:textId="4A4F554E" w:rsidR="00C33881" w:rsidRDefault="00C33881">
      <w:pPr>
        <w:rPr>
          <w:b/>
        </w:rPr>
      </w:pPr>
    </w:p>
    <w:p w14:paraId="60886913" w14:textId="6C33F2A3" w:rsidR="00C33881" w:rsidRDefault="00C33881">
      <w:pPr>
        <w:rPr>
          <w:b/>
        </w:rPr>
      </w:pPr>
    </w:p>
    <w:p w14:paraId="1FF05745" w14:textId="6250B5E0" w:rsidR="00C33881" w:rsidRDefault="00C33881">
      <w:pPr>
        <w:rPr>
          <w:b/>
        </w:rPr>
      </w:pPr>
    </w:p>
    <w:p w14:paraId="4D5E3AF9" w14:textId="3309522D" w:rsidR="00C33881" w:rsidRDefault="00C33881">
      <w:pPr>
        <w:rPr>
          <w:b/>
        </w:rPr>
      </w:pPr>
    </w:p>
    <w:p w14:paraId="07A25B86" w14:textId="7A9DC89E" w:rsidR="00C33881" w:rsidRDefault="00C33881">
      <w:pPr>
        <w:rPr>
          <w:b/>
        </w:rPr>
      </w:pPr>
    </w:p>
    <w:p w14:paraId="1226444C" w14:textId="6116C47D" w:rsidR="00C33881" w:rsidRDefault="00C33881">
      <w:pPr>
        <w:rPr>
          <w:b/>
        </w:rPr>
      </w:pPr>
    </w:p>
    <w:p w14:paraId="417CE80C" w14:textId="6FDED8C4" w:rsidR="00C33881" w:rsidRDefault="00C33881">
      <w:pPr>
        <w:rPr>
          <w:b/>
        </w:rPr>
      </w:pPr>
    </w:p>
    <w:p w14:paraId="532ED12F" w14:textId="461BED30" w:rsidR="00C33881" w:rsidRDefault="00C33881">
      <w:pPr>
        <w:rPr>
          <w:b/>
        </w:rPr>
      </w:pPr>
    </w:p>
    <w:p w14:paraId="3867209B" w14:textId="675AAFCD" w:rsidR="00C33881" w:rsidRDefault="00C33881">
      <w:pPr>
        <w:rPr>
          <w:b/>
        </w:rPr>
      </w:pPr>
    </w:p>
    <w:p w14:paraId="1D172EFB" w14:textId="1D720F0E" w:rsidR="00C33881" w:rsidRDefault="00C33881">
      <w:pPr>
        <w:rPr>
          <w:b/>
        </w:rPr>
      </w:pPr>
    </w:p>
    <w:p w14:paraId="3BB84495" w14:textId="31D2A194" w:rsidR="00C33881" w:rsidRDefault="00C33881">
      <w:pPr>
        <w:rPr>
          <w:b/>
        </w:rPr>
      </w:pPr>
    </w:p>
    <w:p w14:paraId="6D070B0C" w14:textId="77777777" w:rsidR="00C33881" w:rsidRDefault="00C33881">
      <w:pPr>
        <w:rPr>
          <w:rFonts w:ascii="Tahoma" w:hAnsi="Tahoma" w:cs="Tahoma"/>
          <w:b/>
          <w:sz w:val="24"/>
          <w:szCs w:val="24"/>
        </w:rPr>
      </w:pPr>
    </w:p>
    <w:p w14:paraId="26AE1E63" w14:textId="002323B3" w:rsidR="2F155DE6" w:rsidRDefault="2F155DE6" w:rsidP="11EC7659">
      <w:pPr>
        <w:rPr>
          <w:rFonts w:ascii="Tahoma" w:hAnsi="Tahoma" w:cs="Tahoma"/>
          <w:b/>
          <w:bCs/>
          <w:color w:val="003E82"/>
          <w:sz w:val="34"/>
          <w:szCs w:val="34"/>
        </w:rPr>
      </w:pPr>
      <w:r w:rsidRPr="11EC7659">
        <w:rPr>
          <w:rFonts w:ascii="Tahoma" w:hAnsi="Tahoma" w:cs="Tahoma"/>
          <w:b/>
          <w:bCs/>
          <w:color w:val="003E82"/>
          <w:sz w:val="34"/>
          <w:szCs w:val="34"/>
        </w:rPr>
        <w:t>Appendix</w:t>
      </w:r>
    </w:p>
    <w:p w14:paraId="547C2812" w14:textId="2F3F0E06" w:rsidR="11EC7659" w:rsidRDefault="11EC7659" w:rsidP="11EC7659">
      <w:pPr>
        <w:rPr>
          <w:rFonts w:ascii="Tahoma" w:hAnsi="Tahoma" w:cs="Tahoma"/>
          <w:b/>
          <w:bCs/>
          <w:sz w:val="24"/>
          <w:szCs w:val="24"/>
        </w:rPr>
      </w:pPr>
    </w:p>
    <w:p w14:paraId="30A4BC89" w14:textId="05B45552" w:rsidR="00A13D57" w:rsidRPr="00AE38A9" w:rsidRDefault="00B93968">
      <w:pPr>
        <w:rPr>
          <w:rFonts w:ascii="Tahoma" w:hAnsi="Tahoma" w:cs="Tahoma"/>
          <w:b/>
          <w:sz w:val="24"/>
          <w:szCs w:val="24"/>
        </w:rPr>
      </w:pPr>
      <w:r w:rsidRPr="00AE38A9">
        <w:rPr>
          <w:rFonts w:ascii="Tahoma" w:hAnsi="Tahoma" w:cs="Tahoma"/>
          <w:b/>
          <w:sz w:val="24"/>
          <w:szCs w:val="24"/>
        </w:rPr>
        <w:t xml:space="preserve">Timeline of </w:t>
      </w:r>
      <w:r w:rsidR="00E60F16" w:rsidRPr="00AE38A9">
        <w:rPr>
          <w:rFonts w:ascii="Tahoma" w:hAnsi="Tahoma" w:cs="Tahoma"/>
          <w:b/>
          <w:sz w:val="24"/>
          <w:szCs w:val="24"/>
        </w:rPr>
        <w:t>housing</w:t>
      </w:r>
      <w:r w:rsidR="00DF3D91" w:rsidRPr="00AE38A9">
        <w:rPr>
          <w:rFonts w:ascii="Tahoma" w:hAnsi="Tahoma" w:cs="Tahoma"/>
          <w:b/>
          <w:sz w:val="24"/>
          <w:szCs w:val="24"/>
        </w:rPr>
        <w:t xml:space="preserve"> </w:t>
      </w:r>
      <w:r w:rsidR="0010085C" w:rsidRPr="00AE38A9">
        <w:rPr>
          <w:rFonts w:ascii="Tahoma" w:hAnsi="Tahoma" w:cs="Tahoma"/>
          <w:b/>
          <w:sz w:val="24"/>
          <w:szCs w:val="24"/>
        </w:rPr>
        <w:t>policy actions during the COVID-19 pandemic</w:t>
      </w:r>
    </w:p>
    <w:p w14:paraId="394DFCAC" w14:textId="4328276E" w:rsidR="00407A4F" w:rsidRPr="00AC77C0" w:rsidRDefault="0010085C" w:rsidP="002A5AFA">
      <w:pPr>
        <w:pStyle w:val="ListParagraph"/>
        <w:numPr>
          <w:ilvl w:val="0"/>
          <w:numId w:val="20"/>
        </w:numPr>
        <w:rPr>
          <w:rFonts w:ascii="Tahoma" w:hAnsi="Tahoma" w:cs="Tahoma"/>
          <w:sz w:val="24"/>
          <w:szCs w:val="24"/>
        </w:rPr>
      </w:pPr>
      <w:r w:rsidRPr="2E32ED18">
        <w:rPr>
          <w:rFonts w:ascii="Tahoma" w:hAnsi="Tahoma" w:cs="Tahoma"/>
          <w:b/>
          <w:bCs/>
          <w:sz w:val="24"/>
          <w:szCs w:val="24"/>
        </w:rPr>
        <w:t>April 2020</w:t>
      </w:r>
      <w:r w:rsidR="002C7008" w:rsidRPr="2E32ED18">
        <w:rPr>
          <w:rFonts w:ascii="Tahoma" w:hAnsi="Tahoma" w:cs="Tahoma"/>
          <w:b/>
          <w:bCs/>
          <w:sz w:val="24"/>
          <w:szCs w:val="24"/>
        </w:rPr>
        <w:t xml:space="preserve"> –</w:t>
      </w:r>
      <w:r w:rsidR="002C7008" w:rsidRPr="00AC77C0">
        <w:rPr>
          <w:rFonts w:ascii="Tahoma" w:hAnsi="Tahoma" w:cs="Tahoma"/>
          <w:sz w:val="24"/>
          <w:szCs w:val="24"/>
        </w:rPr>
        <w:t xml:space="preserve"> The Scottish Government passed </w:t>
      </w:r>
      <w:r w:rsidR="00835FC1" w:rsidRPr="00AC77C0">
        <w:rPr>
          <w:rFonts w:ascii="Tahoma" w:hAnsi="Tahoma" w:cs="Tahoma"/>
          <w:sz w:val="24"/>
          <w:szCs w:val="24"/>
        </w:rPr>
        <w:t>the</w:t>
      </w:r>
      <w:r w:rsidR="002C7008" w:rsidRPr="00AC77C0">
        <w:rPr>
          <w:rFonts w:ascii="Tahoma" w:hAnsi="Tahoma" w:cs="Tahoma"/>
          <w:sz w:val="24"/>
          <w:szCs w:val="24"/>
        </w:rPr>
        <w:t> Coronavirus (Scotland) Act 2020</w:t>
      </w:r>
      <w:r w:rsidR="00EE51E8" w:rsidRPr="00AC77C0">
        <w:rPr>
          <w:rStyle w:val="FootnoteReference"/>
          <w:rFonts w:ascii="Tahoma" w:hAnsi="Tahoma" w:cs="Tahoma"/>
          <w:sz w:val="24"/>
          <w:szCs w:val="24"/>
        </w:rPr>
        <w:footnoteReference w:id="5"/>
      </w:r>
      <w:r w:rsidR="002C7008" w:rsidRPr="00AC77C0">
        <w:rPr>
          <w:rFonts w:ascii="Tahoma" w:hAnsi="Tahoma" w:cs="Tahoma"/>
          <w:sz w:val="24"/>
          <w:szCs w:val="24"/>
        </w:rPr>
        <w:t> which aimed to protect tenants living in social and private renting from eviction</w:t>
      </w:r>
      <w:r w:rsidR="00F86689" w:rsidRPr="00AC77C0">
        <w:rPr>
          <w:rFonts w:ascii="Tahoma" w:hAnsi="Tahoma" w:cs="Tahoma"/>
          <w:sz w:val="24"/>
          <w:szCs w:val="24"/>
        </w:rPr>
        <w:t>. This included extending notice periods and m</w:t>
      </w:r>
      <w:r w:rsidR="00F86689" w:rsidRPr="2E32ED18">
        <w:rPr>
          <w:rFonts w:ascii="Tahoma" w:hAnsi="Tahoma" w:cs="Tahoma"/>
          <w:sz w:val="24"/>
          <w:szCs w:val="24"/>
        </w:rPr>
        <w:t>aking all grounds for eviction in the private rented sector discretionary</w:t>
      </w:r>
      <w:r w:rsidR="00F86689" w:rsidRPr="00AC77C0">
        <w:rPr>
          <w:rFonts w:ascii="Tahoma" w:hAnsi="Tahoma" w:cs="Tahoma"/>
          <w:sz w:val="24"/>
          <w:szCs w:val="24"/>
        </w:rPr>
        <w:t>.</w:t>
      </w:r>
    </w:p>
    <w:p w14:paraId="7F2971FC" w14:textId="20721B6E" w:rsidR="00407A4F" w:rsidRPr="00AC77C0" w:rsidRDefault="00EE2B2C" w:rsidP="00407A4F">
      <w:pPr>
        <w:pStyle w:val="ListParagraph"/>
        <w:numPr>
          <w:ilvl w:val="0"/>
          <w:numId w:val="20"/>
        </w:numPr>
        <w:rPr>
          <w:rFonts w:ascii="Tahoma" w:hAnsi="Tahoma" w:cs="Tahoma"/>
          <w:sz w:val="24"/>
          <w:szCs w:val="24"/>
        </w:rPr>
      </w:pPr>
      <w:r w:rsidRPr="2E32ED18">
        <w:rPr>
          <w:rFonts w:ascii="Tahoma" w:hAnsi="Tahoma" w:cs="Tahoma"/>
          <w:b/>
          <w:bCs/>
          <w:sz w:val="24"/>
          <w:szCs w:val="24"/>
        </w:rPr>
        <w:t xml:space="preserve">October 2020 </w:t>
      </w:r>
      <w:r w:rsidRPr="00AC77C0">
        <w:rPr>
          <w:rFonts w:ascii="Tahoma" w:hAnsi="Tahoma" w:cs="Tahoma"/>
          <w:sz w:val="24"/>
          <w:szCs w:val="24"/>
        </w:rPr>
        <w:t>– Introduction of pre-action requirements to the private rented sector</w:t>
      </w:r>
      <w:r w:rsidR="00406237" w:rsidRPr="00AC77C0">
        <w:rPr>
          <w:rStyle w:val="FootnoteReference"/>
          <w:rFonts w:ascii="Tahoma" w:hAnsi="Tahoma" w:cs="Tahoma"/>
          <w:sz w:val="24"/>
          <w:szCs w:val="24"/>
        </w:rPr>
        <w:footnoteReference w:id="6"/>
      </w:r>
    </w:p>
    <w:p w14:paraId="4E2A662B" w14:textId="40F7DA53" w:rsidR="00407A4F" w:rsidRPr="00AC77C0" w:rsidRDefault="00546E04" w:rsidP="0067572D">
      <w:pPr>
        <w:pStyle w:val="ListParagraph"/>
        <w:numPr>
          <w:ilvl w:val="0"/>
          <w:numId w:val="20"/>
        </w:numPr>
        <w:rPr>
          <w:rFonts w:ascii="Tahoma" w:hAnsi="Tahoma" w:cs="Tahoma"/>
          <w:sz w:val="24"/>
          <w:szCs w:val="24"/>
        </w:rPr>
      </w:pPr>
      <w:r w:rsidRPr="00AC77C0">
        <w:rPr>
          <w:rFonts w:ascii="Tahoma" w:hAnsi="Tahoma" w:cs="Tahoma"/>
          <w:b/>
          <w:sz w:val="24"/>
          <w:szCs w:val="24"/>
        </w:rPr>
        <w:lastRenderedPageBreak/>
        <w:t>December 2020</w:t>
      </w:r>
      <w:r w:rsidRPr="00AC77C0">
        <w:rPr>
          <w:rFonts w:ascii="Tahoma" w:hAnsi="Tahoma" w:cs="Tahoma"/>
          <w:sz w:val="24"/>
          <w:szCs w:val="24"/>
        </w:rPr>
        <w:t xml:space="preserve"> – </w:t>
      </w:r>
      <w:r w:rsidR="00406237" w:rsidRPr="00AC77C0">
        <w:rPr>
          <w:rFonts w:ascii="Tahoma" w:hAnsi="Tahoma" w:cs="Tahoma"/>
          <w:sz w:val="24"/>
          <w:szCs w:val="24"/>
        </w:rPr>
        <w:t>Introduction of a b</w:t>
      </w:r>
      <w:r w:rsidRPr="00AC77C0">
        <w:rPr>
          <w:rFonts w:ascii="Tahoma" w:hAnsi="Tahoma" w:cs="Tahoma"/>
          <w:sz w:val="24"/>
          <w:szCs w:val="24"/>
        </w:rPr>
        <w:t>an</w:t>
      </w:r>
      <w:r w:rsidR="00522C8B" w:rsidRPr="00AC77C0">
        <w:rPr>
          <w:rFonts w:ascii="Tahoma" w:hAnsi="Tahoma" w:cs="Tahoma"/>
          <w:sz w:val="24"/>
          <w:szCs w:val="24"/>
        </w:rPr>
        <w:t xml:space="preserve"> on the enforcement of eviction orders (except where the eviction is because of antisocial or criminal behaviour). This ban remains in place in all Protection Level 3 and 4 areas until 30 September 2021 (or if the Protection Level system ends before that date).</w:t>
      </w:r>
    </w:p>
    <w:p w14:paraId="6E21C221" w14:textId="35A60223" w:rsidR="008121E7" w:rsidRPr="00AC77C0" w:rsidRDefault="008121E7" w:rsidP="0067572D">
      <w:pPr>
        <w:pStyle w:val="ListParagraph"/>
        <w:numPr>
          <w:ilvl w:val="0"/>
          <w:numId w:val="20"/>
        </w:numPr>
        <w:rPr>
          <w:rFonts w:ascii="Tahoma" w:hAnsi="Tahoma" w:cs="Tahoma"/>
          <w:sz w:val="24"/>
          <w:szCs w:val="24"/>
        </w:rPr>
      </w:pPr>
      <w:r w:rsidRPr="2E32ED18">
        <w:rPr>
          <w:rFonts w:ascii="Tahoma" w:hAnsi="Tahoma" w:cs="Tahoma"/>
          <w:b/>
          <w:bCs/>
          <w:sz w:val="24"/>
          <w:szCs w:val="24"/>
        </w:rPr>
        <w:t xml:space="preserve">December 2020 </w:t>
      </w:r>
      <w:r w:rsidRPr="00AC77C0">
        <w:rPr>
          <w:rFonts w:ascii="Tahoma" w:hAnsi="Tahoma" w:cs="Tahoma"/>
          <w:sz w:val="24"/>
          <w:szCs w:val="24"/>
        </w:rPr>
        <w:t>– The Scottish Government announces a £10million tenant hardship loan fund</w:t>
      </w:r>
      <w:r w:rsidR="008F1D75" w:rsidRPr="00AC77C0">
        <w:rPr>
          <w:rFonts w:ascii="Tahoma" w:hAnsi="Tahoma" w:cs="Tahoma"/>
          <w:sz w:val="24"/>
          <w:szCs w:val="24"/>
        </w:rPr>
        <w:t xml:space="preserve"> to “help people who have had their finances or employment impacted by the coronavirus (COVID-19) pandemic and do not have other means of housing support.”</w:t>
      </w:r>
      <w:r w:rsidR="00835FC1" w:rsidRPr="00AC77C0">
        <w:rPr>
          <w:rStyle w:val="FootnoteReference"/>
          <w:rFonts w:ascii="Tahoma" w:hAnsi="Tahoma" w:cs="Tahoma"/>
          <w:sz w:val="24"/>
          <w:szCs w:val="24"/>
        </w:rPr>
        <w:footnoteReference w:id="7"/>
      </w:r>
    </w:p>
    <w:p w14:paraId="795FE0CC" w14:textId="6E3FDBFB" w:rsidR="00A8695A" w:rsidRDefault="00A8695A" w:rsidP="0067572D">
      <w:pPr>
        <w:pStyle w:val="ListParagraph"/>
        <w:numPr>
          <w:ilvl w:val="0"/>
          <w:numId w:val="20"/>
        </w:numPr>
        <w:rPr>
          <w:rFonts w:ascii="Tahoma" w:hAnsi="Tahoma" w:cs="Tahoma"/>
          <w:sz w:val="24"/>
          <w:szCs w:val="24"/>
        </w:rPr>
      </w:pPr>
      <w:r w:rsidRPr="2E32ED18">
        <w:rPr>
          <w:rFonts w:ascii="Tahoma" w:hAnsi="Tahoma" w:cs="Tahoma"/>
          <w:b/>
          <w:bCs/>
          <w:sz w:val="24"/>
          <w:szCs w:val="24"/>
        </w:rPr>
        <w:t xml:space="preserve">June 2021 – </w:t>
      </w:r>
      <w:r w:rsidRPr="00AC77C0">
        <w:rPr>
          <w:rFonts w:ascii="Tahoma" w:hAnsi="Tahoma" w:cs="Tahoma"/>
          <w:sz w:val="24"/>
          <w:szCs w:val="24"/>
        </w:rPr>
        <w:t>The Scottish Government introduces the Coronavirus (Extension and Expiry) (Scotland) Bill</w:t>
      </w:r>
      <w:r w:rsidRPr="00AC77C0">
        <w:rPr>
          <w:rStyle w:val="FootnoteReference"/>
          <w:rFonts w:ascii="Tahoma" w:hAnsi="Tahoma" w:cs="Tahoma"/>
          <w:sz w:val="24"/>
          <w:szCs w:val="24"/>
        </w:rPr>
        <w:footnoteReference w:id="8"/>
      </w:r>
      <w:r w:rsidRPr="00AC77C0">
        <w:rPr>
          <w:rFonts w:ascii="Tahoma" w:hAnsi="Tahoma" w:cs="Tahoma"/>
          <w:sz w:val="24"/>
          <w:szCs w:val="24"/>
        </w:rPr>
        <w:t xml:space="preserve"> which extends until 31 March 2022 the extended notice periods, discretion for the First Tier Tribunal on all eviction grounds and the pre-action requirements. However, it does not impact on the level 3 and 4 ban on enforcement action which form part of separate health protection level regulations, the regulations for which are in force until end of September 2021</w:t>
      </w:r>
      <w:r>
        <w:rPr>
          <w:rFonts w:ascii="Tahoma" w:hAnsi="Tahoma" w:cs="Tahoma"/>
          <w:sz w:val="24"/>
          <w:szCs w:val="24"/>
        </w:rPr>
        <w:t>.</w:t>
      </w:r>
    </w:p>
    <w:p w14:paraId="33268D52" w14:textId="5CB726FF" w:rsidR="0067572D" w:rsidRPr="00AC77C0" w:rsidRDefault="00522C8B" w:rsidP="0067572D">
      <w:pPr>
        <w:pStyle w:val="ListParagraph"/>
        <w:numPr>
          <w:ilvl w:val="0"/>
          <w:numId w:val="20"/>
        </w:numPr>
        <w:rPr>
          <w:rFonts w:ascii="Tahoma" w:hAnsi="Tahoma" w:cs="Tahoma"/>
          <w:sz w:val="24"/>
          <w:szCs w:val="24"/>
        </w:rPr>
      </w:pPr>
      <w:r w:rsidRPr="2E32ED18">
        <w:rPr>
          <w:rFonts w:ascii="Tahoma" w:hAnsi="Tahoma" w:cs="Tahoma"/>
          <w:b/>
          <w:bCs/>
          <w:sz w:val="24"/>
          <w:szCs w:val="24"/>
        </w:rPr>
        <w:t>June 202</w:t>
      </w:r>
      <w:r w:rsidR="0067572D" w:rsidRPr="2E32ED18">
        <w:rPr>
          <w:rFonts w:ascii="Tahoma" w:hAnsi="Tahoma" w:cs="Tahoma"/>
          <w:b/>
          <w:bCs/>
          <w:sz w:val="24"/>
          <w:szCs w:val="24"/>
        </w:rPr>
        <w:t>1</w:t>
      </w:r>
      <w:r w:rsidRPr="2E32ED18">
        <w:rPr>
          <w:rFonts w:ascii="Tahoma" w:hAnsi="Tahoma" w:cs="Tahoma"/>
          <w:b/>
          <w:bCs/>
          <w:sz w:val="24"/>
          <w:szCs w:val="24"/>
        </w:rPr>
        <w:t xml:space="preserve"> </w:t>
      </w:r>
      <w:r w:rsidR="00407A4F" w:rsidRPr="2E32ED18">
        <w:rPr>
          <w:rFonts w:ascii="Tahoma" w:hAnsi="Tahoma" w:cs="Tahoma"/>
          <w:b/>
          <w:bCs/>
          <w:sz w:val="24"/>
          <w:szCs w:val="24"/>
        </w:rPr>
        <w:t>–</w:t>
      </w:r>
      <w:r w:rsidRPr="2E32ED18">
        <w:rPr>
          <w:rFonts w:ascii="Tahoma" w:hAnsi="Tahoma" w:cs="Tahoma"/>
          <w:b/>
          <w:bCs/>
          <w:sz w:val="24"/>
          <w:szCs w:val="24"/>
        </w:rPr>
        <w:t xml:space="preserve"> </w:t>
      </w:r>
      <w:r w:rsidR="00407A4F" w:rsidRPr="00AC77C0">
        <w:rPr>
          <w:rFonts w:ascii="Tahoma" w:hAnsi="Tahoma" w:cs="Tahoma"/>
          <w:sz w:val="24"/>
          <w:szCs w:val="24"/>
        </w:rPr>
        <w:t>The Scottish Government a</w:t>
      </w:r>
      <w:r w:rsidR="0067572D" w:rsidRPr="00AC77C0">
        <w:rPr>
          <w:rFonts w:ascii="Tahoma" w:hAnsi="Tahoma" w:cs="Tahoma"/>
          <w:sz w:val="24"/>
          <w:szCs w:val="24"/>
        </w:rPr>
        <w:t>nnounce</w:t>
      </w:r>
      <w:r w:rsidR="00407A4F" w:rsidRPr="00AC77C0">
        <w:rPr>
          <w:rFonts w:ascii="Tahoma" w:hAnsi="Tahoma" w:cs="Tahoma"/>
          <w:sz w:val="24"/>
          <w:szCs w:val="24"/>
        </w:rPr>
        <w:t>s</w:t>
      </w:r>
      <w:r w:rsidR="0067572D" w:rsidRPr="00AC77C0">
        <w:rPr>
          <w:rFonts w:ascii="Tahoma" w:hAnsi="Tahoma" w:cs="Tahoma"/>
          <w:sz w:val="24"/>
          <w:szCs w:val="24"/>
        </w:rPr>
        <w:t xml:space="preserve"> a new £10m</w:t>
      </w:r>
      <w:r w:rsidR="00406237" w:rsidRPr="00AC77C0">
        <w:rPr>
          <w:rFonts w:ascii="Tahoma" w:hAnsi="Tahoma" w:cs="Tahoma"/>
          <w:sz w:val="24"/>
          <w:szCs w:val="24"/>
        </w:rPr>
        <w:t>illion</w:t>
      </w:r>
      <w:r w:rsidR="0067572D" w:rsidRPr="00AC77C0">
        <w:rPr>
          <w:rFonts w:ascii="Tahoma" w:hAnsi="Tahoma" w:cs="Tahoma"/>
          <w:sz w:val="24"/>
          <w:szCs w:val="24"/>
        </w:rPr>
        <w:t xml:space="preserve"> grant fund to support tenants struggling to pay their rent as a direct result of COVID-19. This is due to be launched later in the year.</w:t>
      </w:r>
      <w:r w:rsidR="008F1D75" w:rsidRPr="00AC77C0">
        <w:rPr>
          <w:rStyle w:val="FootnoteReference"/>
          <w:rFonts w:ascii="Tahoma" w:hAnsi="Tahoma" w:cs="Tahoma"/>
          <w:sz w:val="24"/>
          <w:szCs w:val="24"/>
        </w:rPr>
        <w:footnoteReference w:id="9"/>
      </w:r>
    </w:p>
    <w:p w14:paraId="407035B8" w14:textId="0FBD1827" w:rsidR="003744D1" w:rsidRPr="004D5D56" w:rsidRDefault="003744D1" w:rsidP="004D5D56">
      <w:pPr>
        <w:pStyle w:val="ListParagraph"/>
        <w:rPr>
          <w:rFonts w:ascii="Tahoma" w:hAnsi="Tahoma" w:cs="Tahoma"/>
          <w:sz w:val="24"/>
          <w:szCs w:val="24"/>
        </w:rPr>
      </w:pPr>
    </w:p>
    <w:sectPr w:rsidR="003744D1" w:rsidRPr="004D5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A87D6" w14:textId="77777777" w:rsidR="00663F2C" w:rsidRDefault="00663F2C" w:rsidP="00666240">
      <w:pPr>
        <w:spacing w:after="0" w:line="240" w:lineRule="auto"/>
      </w:pPr>
      <w:r>
        <w:separator/>
      </w:r>
    </w:p>
  </w:endnote>
  <w:endnote w:type="continuationSeparator" w:id="0">
    <w:p w14:paraId="15D2FAF4" w14:textId="77777777" w:rsidR="00663F2C" w:rsidRDefault="00663F2C" w:rsidP="00666240">
      <w:pPr>
        <w:spacing w:after="0" w:line="240" w:lineRule="auto"/>
      </w:pPr>
      <w:r>
        <w:continuationSeparator/>
      </w:r>
    </w:p>
  </w:endnote>
  <w:endnote w:type="continuationNotice" w:id="1">
    <w:p w14:paraId="38894016" w14:textId="77777777" w:rsidR="00663F2C" w:rsidRDefault="00663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6CD9F" w14:textId="77777777" w:rsidR="00663F2C" w:rsidRDefault="00663F2C" w:rsidP="00666240">
      <w:pPr>
        <w:spacing w:after="0" w:line="240" w:lineRule="auto"/>
      </w:pPr>
      <w:r>
        <w:separator/>
      </w:r>
    </w:p>
  </w:footnote>
  <w:footnote w:type="continuationSeparator" w:id="0">
    <w:p w14:paraId="4D710CA6" w14:textId="77777777" w:rsidR="00663F2C" w:rsidRDefault="00663F2C" w:rsidP="00666240">
      <w:pPr>
        <w:spacing w:after="0" w:line="240" w:lineRule="auto"/>
      </w:pPr>
      <w:r>
        <w:continuationSeparator/>
      </w:r>
    </w:p>
  </w:footnote>
  <w:footnote w:type="continuationNotice" w:id="1">
    <w:p w14:paraId="4B152330" w14:textId="77777777" w:rsidR="00663F2C" w:rsidRDefault="00663F2C">
      <w:pPr>
        <w:spacing w:after="0" w:line="240" w:lineRule="auto"/>
      </w:pPr>
    </w:p>
  </w:footnote>
  <w:footnote w:id="2">
    <w:p w14:paraId="21C0761A" w14:textId="3F132FE0" w:rsidR="00666240" w:rsidRDefault="00666240">
      <w:pPr>
        <w:pStyle w:val="FootnoteText"/>
      </w:pPr>
      <w:r>
        <w:rPr>
          <w:rStyle w:val="FootnoteReference"/>
        </w:rPr>
        <w:footnoteRef/>
      </w:r>
      <w:r>
        <w:t xml:space="preserve"> </w:t>
      </w:r>
      <w:r w:rsidR="00BD251C">
        <w:t xml:space="preserve">The data in this report should be considered as preliminary </w:t>
      </w:r>
      <w:r w:rsidR="008D7BA4">
        <w:t>as it does not include</w:t>
      </w:r>
      <w:r w:rsidR="00BD251C">
        <w:t xml:space="preserve"> data from one bureau due to technical difficulties</w:t>
      </w:r>
      <w:r w:rsidR="00882B58">
        <w:t>.</w:t>
      </w:r>
    </w:p>
  </w:footnote>
  <w:footnote w:id="3">
    <w:p w14:paraId="452FEEE5" w14:textId="6A34294F" w:rsidR="00DF1A4C" w:rsidRDefault="00DF1A4C">
      <w:pPr>
        <w:pStyle w:val="FootnoteText"/>
      </w:pPr>
      <w:r>
        <w:rPr>
          <w:rStyle w:val="FootnoteReference"/>
        </w:rPr>
        <w:footnoteRef/>
      </w:r>
      <w:r>
        <w:t xml:space="preserve"> The data in this report is correct as of </w:t>
      </w:r>
      <w:r w:rsidR="001D0777">
        <w:t>21</w:t>
      </w:r>
      <w:r w:rsidR="001D0777" w:rsidRPr="001D0777">
        <w:rPr>
          <w:vertAlign w:val="superscript"/>
        </w:rPr>
        <w:t>st</w:t>
      </w:r>
      <w:r w:rsidR="001D0777">
        <w:t xml:space="preserve"> June 2021.</w:t>
      </w:r>
    </w:p>
  </w:footnote>
  <w:footnote w:id="4">
    <w:p w14:paraId="00F953AE" w14:textId="77777777" w:rsidR="004728EB" w:rsidRDefault="004728EB" w:rsidP="004728EB">
      <w:pPr>
        <w:pStyle w:val="FootnoteText"/>
      </w:pPr>
      <w:r>
        <w:rPr>
          <w:rStyle w:val="FootnoteReference"/>
        </w:rPr>
        <w:footnoteRef/>
      </w:r>
      <w:r>
        <w:t xml:space="preserve"> </w:t>
      </w:r>
      <w:r w:rsidRPr="00B12694">
        <w:t>https://www.jrf.org.uk/report/stronger-scottish-lifeline-economic-storm</w:t>
      </w:r>
    </w:p>
  </w:footnote>
  <w:footnote w:id="5">
    <w:p w14:paraId="767D7509" w14:textId="5EA413C3" w:rsidR="00EE51E8" w:rsidRDefault="00EE51E8">
      <w:pPr>
        <w:pStyle w:val="FootnoteText"/>
      </w:pPr>
      <w:r>
        <w:rPr>
          <w:rStyle w:val="FootnoteReference"/>
        </w:rPr>
        <w:footnoteRef/>
      </w:r>
      <w:r>
        <w:t xml:space="preserve"> </w:t>
      </w:r>
      <w:r w:rsidRPr="00EE51E8">
        <w:t>https://www.legislation.gov.uk/asp/2020/7/contents</w:t>
      </w:r>
    </w:p>
  </w:footnote>
  <w:footnote w:id="6">
    <w:p w14:paraId="549321A7" w14:textId="682A98B8" w:rsidR="00406237" w:rsidRDefault="00406237">
      <w:pPr>
        <w:pStyle w:val="FootnoteText"/>
      </w:pPr>
      <w:r>
        <w:rPr>
          <w:rStyle w:val="FootnoteReference"/>
        </w:rPr>
        <w:footnoteRef/>
      </w:r>
      <w:r>
        <w:t xml:space="preserve"> </w:t>
      </w:r>
      <w:r w:rsidRPr="00406237">
        <w:t>https://www.gov.scot/publications/coronavirus-covid-19-advice-for-private-tenants/</w:t>
      </w:r>
    </w:p>
  </w:footnote>
  <w:footnote w:id="7">
    <w:p w14:paraId="3CACC272" w14:textId="509CF995" w:rsidR="00835FC1" w:rsidRDefault="00835FC1">
      <w:pPr>
        <w:pStyle w:val="FootnoteText"/>
      </w:pPr>
      <w:r>
        <w:rPr>
          <w:rStyle w:val="FootnoteReference"/>
        </w:rPr>
        <w:footnoteRef/>
      </w:r>
      <w:r>
        <w:t xml:space="preserve"> </w:t>
      </w:r>
      <w:r w:rsidRPr="00835FC1">
        <w:t>https://www.gov.scot/news/increased-support-for-tenants/</w:t>
      </w:r>
    </w:p>
  </w:footnote>
  <w:footnote w:id="8">
    <w:p w14:paraId="5FAF21F9" w14:textId="77777777" w:rsidR="00A8695A" w:rsidRDefault="00A8695A" w:rsidP="00A8695A">
      <w:pPr>
        <w:pStyle w:val="FootnoteText"/>
      </w:pPr>
      <w:r>
        <w:rPr>
          <w:rStyle w:val="FootnoteReference"/>
        </w:rPr>
        <w:footnoteRef/>
      </w:r>
      <w:r>
        <w:t xml:space="preserve"> </w:t>
      </w:r>
      <w:r w:rsidRPr="00EE51E8">
        <w:t>https://www.parliament.scot/-/media/files/legislation/bills/s6-bills/coronavirus-extension-and-expiry-scotland-bill/stage-3/bill-as-passed.pdf</w:t>
      </w:r>
    </w:p>
  </w:footnote>
  <w:footnote w:id="9">
    <w:p w14:paraId="06ED9954" w14:textId="2BCB69C9" w:rsidR="008F1D75" w:rsidRDefault="008F1D75">
      <w:pPr>
        <w:pStyle w:val="FootnoteText"/>
      </w:pPr>
      <w:r>
        <w:rPr>
          <w:rStyle w:val="FootnoteReference"/>
        </w:rPr>
        <w:footnoteRef/>
      </w:r>
      <w:r>
        <w:t xml:space="preserve"> </w:t>
      </w:r>
      <w:r w:rsidR="00835FC1" w:rsidRPr="00835FC1">
        <w:t>https://www.scottishhousingnews.com/article/scottish-government-announces-10-million-grant-fund-for-tenants-in-arrears-due-to-covid-19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367"/>
    <w:multiLevelType w:val="hybridMultilevel"/>
    <w:tmpl w:val="3824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C2349"/>
    <w:multiLevelType w:val="hybridMultilevel"/>
    <w:tmpl w:val="9F1C7FE8"/>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5B13"/>
    <w:multiLevelType w:val="hybridMultilevel"/>
    <w:tmpl w:val="3E60763E"/>
    <w:lvl w:ilvl="0" w:tplc="6A54AEC2">
      <w:start w:val="1"/>
      <w:numFmt w:val="bullet"/>
      <w:lvlText w:val="›"/>
      <w:lvlJc w:val="left"/>
      <w:pPr>
        <w:ind w:left="720" w:hanging="360"/>
      </w:pPr>
      <w:rPr>
        <w:rFonts w:ascii="Tahoma" w:hAnsi="Tahoma" w:hint="default"/>
        <w:b/>
        <w:color w:val="008D9B"/>
        <w:sz w:val="32"/>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82987"/>
    <w:multiLevelType w:val="hybridMultilevel"/>
    <w:tmpl w:val="5408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7447F"/>
    <w:multiLevelType w:val="multilevel"/>
    <w:tmpl w:val="170A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B5D82"/>
    <w:multiLevelType w:val="hybridMultilevel"/>
    <w:tmpl w:val="A8C0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23138"/>
    <w:multiLevelType w:val="hybridMultilevel"/>
    <w:tmpl w:val="F300DBBC"/>
    <w:lvl w:ilvl="0" w:tplc="FDB0EC62">
      <w:start w:val="1"/>
      <w:numFmt w:val="bullet"/>
      <w:lvlText w:val=""/>
      <w:lvlJc w:val="left"/>
      <w:pPr>
        <w:ind w:left="720" w:hanging="360"/>
      </w:pPr>
      <w:rPr>
        <w:rFonts w:ascii="Symbol" w:hAnsi="Symbol" w:hint="default"/>
      </w:rPr>
    </w:lvl>
    <w:lvl w:ilvl="1" w:tplc="3078FC80">
      <w:start w:val="1"/>
      <w:numFmt w:val="bullet"/>
      <w:lvlText w:val="o"/>
      <w:lvlJc w:val="left"/>
      <w:pPr>
        <w:ind w:left="1440" w:hanging="360"/>
      </w:pPr>
      <w:rPr>
        <w:rFonts w:ascii="Courier New" w:hAnsi="Courier New" w:hint="default"/>
      </w:rPr>
    </w:lvl>
    <w:lvl w:ilvl="2" w:tplc="4F1C7AA6">
      <w:start w:val="1"/>
      <w:numFmt w:val="bullet"/>
      <w:lvlText w:val=""/>
      <w:lvlJc w:val="left"/>
      <w:pPr>
        <w:ind w:left="2160" w:hanging="360"/>
      </w:pPr>
      <w:rPr>
        <w:rFonts w:ascii="Wingdings" w:hAnsi="Wingdings" w:hint="default"/>
      </w:rPr>
    </w:lvl>
    <w:lvl w:ilvl="3" w:tplc="A038FFFA">
      <w:start w:val="1"/>
      <w:numFmt w:val="bullet"/>
      <w:lvlText w:val=""/>
      <w:lvlJc w:val="left"/>
      <w:pPr>
        <w:ind w:left="2880" w:hanging="360"/>
      </w:pPr>
      <w:rPr>
        <w:rFonts w:ascii="Symbol" w:hAnsi="Symbol" w:hint="default"/>
      </w:rPr>
    </w:lvl>
    <w:lvl w:ilvl="4" w:tplc="CF801500">
      <w:start w:val="1"/>
      <w:numFmt w:val="bullet"/>
      <w:lvlText w:val="o"/>
      <w:lvlJc w:val="left"/>
      <w:pPr>
        <w:ind w:left="3600" w:hanging="360"/>
      </w:pPr>
      <w:rPr>
        <w:rFonts w:ascii="Courier New" w:hAnsi="Courier New" w:hint="default"/>
      </w:rPr>
    </w:lvl>
    <w:lvl w:ilvl="5" w:tplc="E3A25DD2">
      <w:start w:val="1"/>
      <w:numFmt w:val="bullet"/>
      <w:lvlText w:val=""/>
      <w:lvlJc w:val="left"/>
      <w:pPr>
        <w:ind w:left="4320" w:hanging="360"/>
      </w:pPr>
      <w:rPr>
        <w:rFonts w:ascii="Wingdings" w:hAnsi="Wingdings" w:hint="default"/>
      </w:rPr>
    </w:lvl>
    <w:lvl w:ilvl="6" w:tplc="DFB4835A">
      <w:start w:val="1"/>
      <w:numFmt w:val="bullet"/>
      <w:lvlText w:val=""/>
      <w:lvlJc w:val="left"/>
      <w:pPr>
        <w:ind w:left="5040" w:hanging="360"/>
      </w:pPr>
      <w:rPr>
        <w:rFonts w:ascii="Symbol" w:hAnsi="Symbol" w:hint="default"/>
      </w:rPr>
    </w:lvl>
    <w:lvl w:ilvl="7" w:tplc="74541568">
      <w:start w:val="1"/>
      <w:numFmt w:val="bullet"/>
      <w:lvlText w:val="o"/>
      <w:lvlJc w:val="left"/>
      <w:pPr>
        <w:ind w:left="5760" w:hanging="360"/>
      </w:pPr>
      <w:rPr>
        <w:rFonts w:ascii="Courier New" w:hAnsi="Courier New" w:hint="default"/>
      </w:rPr>
    </w:lvl>
    <w:lvl w:ilvl="8" w:tplc="90B01D4E">
      <w:start w:val="1"/>
      <w:numFmt w:val="bullet"/>
      <w:lvlText w:val=""/>
      <w:lvlJc w:val="left"/>
      <w:pPr>
        <w:ind w:left="6480" w:hanging="360"/>
      </w:pPr>
      <w:rPr>
        <w:rFonts w:ascii="Wingdings" w:hAnsi="Wingdings" w:hint="default"/>
      </w:rPr>
    </w:lvl>
  </w:abstractNum>
  <w:abstractNum w:abstractNumId="7" w15:restartNumberingAfterBreak="0">
    <w:nsid w:val="25950348"/>
    <w:multiLevelType w:val="hybridMultilevel"/>
    <w:tmpl w:val="187A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5667"/>
    <w:multiLevelType w:val="hybridMultilevel"/>
    <w:tmpl w:val="0D700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92FB0"/>
    <w:multiLevelType w:val="hybridMultilevel"/>
    <w:tmpl w:val="81FE884C"/>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65F0E"/>
    <w:multiLevelType w:val="hybridMultilevel"/>
    <w:tmpl w:val="23CEEF4A"/>
    <w:lvl w:ilvl="0" w:tplc="436C0C7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DD100B"/>
    <w:multiLevelType w:val="hybridMultilevel"/>
    <w:tmpl w:val="77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7338E"/>
    <w:multiLevelType w:val="hybridMultilevel"/>
    <w:tmpl w:val="F8929C9A"/>
    <w:lvl w:ilvl="0" w:tplc="42AC10F4">
      <w:start w:val="1"/>
      <w:numFmt w:val="bullet"/>
      <w:lvlText w:val=""/>
      <w:lvlJc w:val="left"/>
      <w:pPr>
        <w:ind w:left="720" w:hanging="360"/>
      </w:pPr>
      <w:rPr>
        <w:rFonts w:ascii="Symbol" w:hAnsi="Symbol" w:hint="default"/>
      </w:rPr>
    </w:lvl>
    <w:lvl w:ilvl="1" w:tplc="E032A248">
      <w:start w:val="1"/>
      <w:numFmt w:val="bullet"/>
      <w:lvlText w:val="o"/>
      <w:lvlJc w:val="left"/>
      <w:pPr>
        <w:ind w:left="1440" w:hanging="360"/>
      </w:pPr>
      <w:rPr>
        <w:rFonts w:ascii="Courier New" w:hAnsi="Courier New" w:hint="default"/>
      </w:rPr>
    </w:lvl>
    <w:lvl w:ilvl="2" w:tplc="1C3EEEA4">
      <w:start w:val="1"/>
      <w:numFmt w:val="bullet"/>
      <w:lvlText w:val=""/>
      <w:lvlJc w:val="left"/>
      <w:pPr>
        <w:ind w:left="2160" w:hanging="360"/>
      </w:pPr>
      <w:rPr>
        <w:rFonts w:ascii="Wingdings" w:hAnsi="Wingdings" w:hint="default"/>
      </w:rPr>
    </w:lvl>
    <w:lvl w:ilvl="3" w:tplc="A8E02C60">
      <w:start w:val="1"/>
      <w:numFmt w:val="bullet"/>
      <w:lvlText w:val=""/>
      <w:lvlJc w:val="left"/>
      <w:pPr>
        <w:ind w:left="2880" w:hanging="360"/>
      </w:pPr>
      <w:rPr>
        <w:rFonts w:ascii="Symbol" w:hAnsi="Symbol" w:hint="default"/>
      </w:rPr>
    </w:lvl>
    <w:lvl w:ilvl="4" w:tplc="CE3A448C">
      <w:start w:val="1"/>
      <w:numFmt w:val="bullet"/>
      <w:lvlText w:val="o"/>
      <w:lvlJc w:val="left"/>
      <w:pPr>
        <w:ind w:left="3600" w:hanging="360"/>
      </w:pPr>
      <w:rPr>
        <w:rFonts w:ascii="Courier New" w:hAnsi="Courier New" w:hint="default"/>
      </w:rPr>
    </w:lvl>
    <w:lvl w:ilvl="5" w:tplc="FFB6B5E6">
      <w:start w:val="1"/>
      <w:numFmt w:val="bullet"/>
      <w:lvlText w:val=""/>
      <w:lvlJc w:val="left"/>
      <w:pPr>
        <w:ind w:left="4320" w:hanging="360"/>
      </w:pPr>
      <w:rPr>
        <w:rFonts w:ascii="Wingdings" w:hAnsi="Wingdings" w:hint="default"/>
      </w:rPr>
    </w:lvl>
    <w:lvl w:ilvl="6" w:tplc="BE7401B2">
      <w:start w:val="1"/>
      <w:numFmt w:val="bullet"/>
      <w:lvlText w:val=""/>
      <w:lvlJc w:val="left"/>
      <w:pPr>
        <w:ind w:left="5040" w:hanging="360"/>
      </w:pPr>
      <w:rPr>
        <w:rFonts w:ascii="Symbol" w:hAnsi="Symbol" w:hint="default"/>
      </w:rPr>
    </w:lvl>
    <w:lvl w:ilvl="7" w:tplc="57804EE2">
      <w:start w:val="1"/>
      <w:numFmt w:val="bullet"/>
      <w:lvlText w:val="o"/>
      <w:lvlJc w:val="left"/>
      <w:pPr>
        <w:ind w:left="5760" w:hanging="360"/>
      </w:pPr>
      <w:rPr>
        <w:rFonts w:ascii="Courier New" w:hAnsi="Courier New" w:hint="default"/>
      </w:rPr>
    </w:lvl>
    <w:lvl w:ilvl="8" w:tplc="CA84E3AA">
      <w:start w:val="1"/>
      <w:numFmt w:val="bullet"/>
      <w:lvlText w:val=""/>
      <w:lvlJc w:val="left"/>
      <w:pPr>
        <w:ind w:left="6480" w:hanging="360"/>
      </w:pPr>
      <w:rPr>
        <w:rFonts w:ascii="Wingdings" w:hAnsi="Wingdings" w:hint="default"/>
      </w:rPr>
    </w:lvl>
  </w:abstractNum>
  <w:abstractNum w:abstractNumId="13" w15:restartNumberingAfterBreak="0">
    <w:nsid w:val="4CB636CA"/>
    <w:multiLevelType w:val="hybridMultilevel"/>
    <w:tmpl w:val="2514F704"/>
    <w:lvl w:ilvl="0" w:tplc="436C0C7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163ED"/>
    <w:multiLevelType w:val="hybridMultilevel"/>
    <w:tmpl w:val="754678EC"/>
    <w:lvl w:ilvl="0" w:tplc="862246C0">
      <w:start w:val="1"/>
      <w:numFmt w:val="bullet"/>
      <w:lvlText w:val=""/>
      <w:lvlJc w:val="left"/>
      <w:pPr>
        <w:ind w:left="720" w:hanging="360"/>
      </w:pPr>
      <w:rPr>
        <w:rFonts w:ascii="Symbol" w:hAnsi="Symbol" w:hint="default"/>
      </w:rPr>
    </w:lvl>
    <w:lvl w:ilvl="1" w:tplc="CAB41556">
      <w:start w:val="1"/>
      <w:numFmt w:val="bullet"/>
      <w:lvlText w:val="o"/>
      <w:lvlJc w:val="left"/>
      <w:pPr>
        <w:ind w:left="1440" w:hanging="360"/>
      </w:pPr>
      <w:rPr>
        <w:rFonts w:ascii="Courier New" w:hAnsi="Courier New" w:hint="default"/>
      </w:rPr>
    </w:lvl>
    <w:lvl w:ilvl="2" w:tplc="E8FC87F8">
      <w:start w:val="1"/>
      <w:numFmt w:val="bullet"/>
      <w:lvlText w:val=""/>
      <w:lvlJc w:val="left"/>
      <w:pPr>
        <w:ind w:left="2160" w:hanging="360"/>
      </w:pPr>
      <w:rPr>
        <w:rFonts w:ascii="Wingdings" w:hAnsi="Wingdings" w:hint="default"/>
      </w:rPr>
    </w:lvl>
    <w:lvl w:ilvl="3" w:tplc="A1F6C5F4">
      <w:start w:val="1"/>
      <w:numFmt w:val="bullet"/>
      <w:lvlText w:val=""/>
      <w:lvlJc w:val="left"/>
      <w:pPr>
        <w:ind w:left="2880" w:hanging="360"/>
      </w:pPr>
      <w:rPr>
        <w:rFonts w:ascii="Symbol" w:hAnsi="Symbol" w:hint="default"/>
      </w:rPr>
    </w:lvl>
    <w:lvl w:ilvl="4" w:tplc="D8CE0D18">
      <w:start w:val="1"/>
      <w:numFmt w:val="bullet"/>
      <w:lvlText w:val="o"/>
      <w:lvlJc w:val="left"/>
      <w:pPr>
        <w:ind w:left="3600" w:hanging="360"/>
      </w:pPr>
      <w:rPr>
        <w:rFonts w:ascii="Courier New" w:hAnsi="Courier New" w:hint="default"/>
      </w:rPr>
    </w:lvl>
    <w:lvl w:ilvl="5" w:tplc="B1081C50">
      <w:start w:val="1"/>
      <w:numFmt w:val="bullet"/>
      <w:lvlText w:val=""/>
      <w:lvlJc w:val="left"/>
      <w:pPr>
        <w:ind w:left="4320" w:hanging="360"/>
      </w:pPr>
      <w:rPr>
        <w:rFonts w:ascii="Wingdings" w:hAnsi="Wingdings" w:hint="default"/>
      </w:rPr>
    </w:lvl>
    <w:lvl w:ilvl="6" w:tplc="93CC870E">
      <w:start w:val="1"/>
      <w:numFmt w:val="bullet"/>
      <w:lvlText w:val=""/>
      <w:lvlJc w:val="left"/>
      <w:pPr>
        <w:ind w:left="5040" w:hanging="360"/>
      </w:pPr>
      <w:rPr>
        <w:rFonts w:ascii="Symbol" w:hAnsi="Symbol" w:hint="default"/>
      </w:rPr>
    </w:lvl>
    <w:lvl w:ilvl="7" w:tplc="C23AD88A">
      <w:start w:val="1"/>
      <w:numFmt w:val="bullet"/>
      <w:lvlText w:val="o"/>
      <w:lvlJc w:val="left"/>
      <w:pPr>
        <w:ind w:left="5760" w:hanging="360"/>
      </w:pPr>
      <w:rPr>
        <w:rFonts w:ascii="Courier New" w:hAnsi="Courier New" w:hint="default"/>
      </w:rPr>
    </w:lvl>
    <w:lvl w:ilvl="8" w:tplc="C3A4E7F6">
      <w:start w:val="1"/>
      <w:numFmt w:val="bullet"/>
      <w:lvlText w:val=""/>
      <w:lvlJc w:val="left"/>
      <w:pPr>
        <w:ind w:left="6480" w:hanging="360"/>
      </w:pPr>
      <w:rPr>
        <w:rFonts w:ascii="Wingdings" w:hAnsi="Wingdings" w:hint="default"/>
      </w:rPr>
    </w:lvl>
  </w:abstractNum>
  <w:abstractNum w:abstractNumId="15" w15:restartNumberingAfterBreak="0">
    <w:nsid w:val="57B61FAD"/>
    <w:multiLevelType w:val="hybridMultilevel"/>
    <w:tmpl w:val="D8A2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D3BB4"/>
    <w:multiLevelType w:val="hybridMultilevel"/>
    <w:tmpl w:val="67D60CA8"/>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72E8F"/>
    <w:multiLevelType w:val="hybridMultilevel"/>
    <w:tmpl w:val="FFFFFFFF"/>
    <w:lvl w:ilvl="0" w:tplc="B1A6D9F6">
      <w:start w:val="1"/>
      <w:numFmt w:val="bullet"/>
      <w:lvlText w:val=""/>
      <w:lvlJc w:val="left"/>
      <w:pPr>
        <w:ind w:left="720" w:hanging="360"/>
      </w:pPr>
      <w:rPr>
        <w:rFonts w:ascii="Symbol" w:hAnsi="Symbol" w:hint="default"/>
      </w:rPr>
    </w:lvl>
    <w:lvl w:ilvl="1" w:tplc="6658A806">
      <w:start w:val="1"/>
      <w:numFmt w:val="bullet"/>
      <w:lvlText w:val="o"/>
      <w:lvlJc w:val="left"/>
      <w:pPr>
        <w:ind w:left="1440" w:hanging="360"/>
      </w:pPr>
      <w:rPr>
        <w:rFonts w:ascii="Courier New" w:hAnsi="Courier New" w:hint="default"/>
      </w:rPr>
    </w:lvl>
    <w:lvl w:ilvl="2" w:tplc="80F00640">
      <w:start w:val="1"/>
      <w:numFmt w:val="bullet"/>
      <w:lvlText w:val=""/>
      <w:lvlJc w:val="left"/>
      <w:pPr>
        <w:ind w:left="2160" w:hanging="360"/>
      </w:pPr>
      <w:rPr>
        <w:rFonts w:ascii="Wingdings" w:hAnsi="Wingdings" w:hint="default"/>
      </w:rPr>
    </w:lvl>
    <w:lvl w:ilvl="3" w:tplc="1C82ED4E">
      <w:start w:val="1"/>
      <w:numFmt w:val="bullet"/>
      <w:lvlText w:val=""/>
      <w:lvlJc w:val="left"/>
      <w:pPr>
        <w:ind w:left="2880" w:hanging="360"/>
      </w:pPr>
      <w:rPr>
        <w:rFonts w:ascii="Symbol" w:hAnsi="Symbol" w:hint="default"/>
      </w:rPr>
    </w:lvl>
    <w:lvl w:ilvl="4" w:tplc="4C7C7EDC">
      <w:start w:val="1"/>
      <w:numFmt w:val="bullet"/>
      <w:lvlText w:val="o"/>
      <w:lvlJc w:val="left"/>
      <w:pPr>
        <w:ind w:left="3600" w:hanging="360"/>
      </w:pPr>
      <w:rPr>
        <w:rFonts w:ascii="Courier New" w:hAnsi="Courier New" w:hint="default"/>
      </w:rPr>
    </w:lvl>
    <w:lvl w:ilvl="5" w:tplc="1F488F80">
      <w:start w:val="1"/>
      <w:numFmt w:val="bullet"/>
      <w:lvlText w:val=""/>
      <w:lvlJc w:val="left"/>
      <w:pPr>
        <w:ind w:left="4320" w:hanging="360"/>
      </w:pPr>
      <w:rPr>
        <w:rFonts w:ascii="Wingdings" w:hAnsi="Wingdings" w:hint="default"/>
      </w:rPr>
    </w:lvl>
    <w:lvl w:ilvl="6" w:tplc="C5CE242A">
      <w:start w:val="1"/>
      <w:numFmt w:val="bullet"/>
      <w:lvlText w:val=""/>
      <w:lvlJc w:val="left"/>
      <w:pPr>
        <w:ind w:left="5040" w:hanging="360"/>
      </w:pPr>
      <w:rPr>
        <w:rFonts w:ascii="Symbol" w:hAnsi="Symbol" w:hint="default"/>
      </w:rPr>
    </w:lvl>
    <w:lvl w:ilvl="7" w:tplc="E2B6F388">
      <w:start w:val="1"/>
      <w:numFmt w:val="bullet"/>
      <w:lvlText w:val="o"/>
      <w:lvlJc w:val="left"/>
      <w:pPr>
        <w:ind w:left="5760" w:hanging="360"/>
      </w:pPr>
      <w:rPr>
        <w:rFonts w:ascii="Courier New" w:hAnsi="Courier New" w:hint="default"/>
      </w:rPr>
    </w:lvl>
    <w:lvl w:ilvl="8" w:tplc="42EE2C58">
      <w:start w:val="1"/>
      <w:numFmt w:val="bullet"/>
      <w:lvlText w:val=""/>
      <w:lvlJc w:val="left"/>
      <w:pPr>
        <w:ind w:left="6480" w:hanging="360"/>
      </w:pPr>
      <w:rPr>
        <w:rFonts w:ascii="Wingdings" w:hAnsi="Wingdings" w:hint="default"/>
      </w:rPr>
    </w:lvl>
  </w:abstractNum>
  <w:abstractNum w:abstractNumId="18" w15:restartNumberingAfterBreak="0">
    <w:nsid w:val="616F2D1C"/>
    <w:multiLevelType w:val="hybridMultilevel"/>
    <w:tmpl w:val="A246F38C"/>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F4805"/>
    <w:multiLevelType w:val="hybridMultilevel"/>
    <w:tmpl w:val="0BCE5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C50A0"/>
    <w:multiLevelType w:val="hybridMultilevel"/>
    <w:tmpl w:val="B7D4B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C3F03"/>
    <w:multiLevelType w:val="hybridMultilevel"/>
    <w:tmpl w:val="28E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30D44"/>
    <w:multiLevelType w:val="hybridMultilevel"/>
    <w:tmpl w:val="350C6192"/>
    <w:lvl w:ilvl="0" w:tplc="6A54AEC2">
      <w:start w:val="1"/>
      <w:numFmt w:val="bullet"/>
      <w:lvlText w:val="›"/>
      <w:lvlJc w:val="left"/>
      <w:pPr>
        <w:ind w:left="720" w:hanging="360"/>
      </w:pPr>
      <w:rPr>
        <w:rFonts w:ascii="Tahoma" w:hAnsi="Tahoma" w:hint="default"/>
        <w:b/>
        <w:color w:val="008D9B"/>
        <w:sz w:val="3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20B8B"/>
    <w:multiLevelType w:val="hybridMultilevel"/>
    <w:tmpl w:val="1A66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2"/>
  </w:num>
  <w:num w:numId="5">
    <w:abstractNumId w:val="1"/>
  </w:num>
  <w:num w:numId="6">
    <w:abstractNumId w:val="9"/>
  </w:num>
  <w:num w:numId="7">
    <w:abstractNumId w:val="19"/>
  </w:num>
  <w:num w:numId="8">
    <w:abstractNumId w:val="0"/>
  </w:num>
  <w:num w:numId="9">
    <w:abstractNumId w:val="8"/>
  </w:num>
  <w:num w:numId="10">
    <w:abstractNumId w:val="21"/>
  </w:num>
  <w:num w:numId="11">
    <w:abstractNumId w:val="11"/>
  </w:num>
  <w:num w:numId="12">
    <w:abstractNumId w:val="15"/>
  </w:num>
  <w:num w:numId="13">
    <w:abstractNumId w:val="7"/>
  </w:num>
  <w:num w:numId="14">
    <w:abstractNumId w:val="23"/>
  </w:num>
  <w:num w:numId="15">
    <w:abstractNumId w:val="20"/>
  </w:num>
  <w:num w:numId="16">
    <w:abstractNumId w:val="22"/>
  </w:num>
  <w:num w:numId="17">
    <w:abstractNumId w:val="10"/>
  </w:num>
  <w:num w:numId="18">
    <w:abstractNumId w:val="13"/>
  </w:num>
  <w:num w:numId="19">
    <w:abstractNumId w:val="4"/>
  </w:num>
  <w:num w:numId="20">
    <w:abstractNumId w:val="16"/>
  </w:num>
  <w:num w:numId="21">
    <w:abstractNumId w:val="6"/>
  </w:num>
  <w:num w:numId="22">
    <w:abstractNumId w:val="17"/>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A1"/>
    <w:rsid w:val="00001E37"/>
    <w:rsid w:val="00011AC4"/>
    <w:rsid w:val="00015325"/>
    <w:rsid w:val="00025CFA"/>
    <w:rsid w:val="000311FA"/>
    <w:rsid w:val="00035B91"/>
    <w:rsid w:val="00037AF1"/>
    <w:rsid w:val="000419CC"/>
    <w:rsid w:val="0004459B"/>
    <w:rsid w:val="000452AB"/>
    <w:rsid w:val="00047795"/>
    <w:rsid w:val="000508DD"/>
    <w:rsid w:val="00052EB0"/>
    <w:rsid w:val="0005337A"/>
    <w:rsid w:val="000570F8"/>
    <w:rsid w:val="000721D4"/>
    <w:rsid w:val="000763A7"/>
    <w:rsid w:val="00077409"/>
    <w:rsid w:val="000804C4"/>
    <w:rsid w:val="00083A33"/>
    <w:rsid w:val="00085ABD"/>
    <w:rsid w:val="000A1A36"/>
    <w:rsid w:val="000A2E6A"/>
    <w:rsid w:val="000A3634"/>
    <w:rsid w:val="000A5CBF"/>
    <w:rsid w:val="000A78DA"/>
    <w:rsid w:val="000B298C"/>
    <w:rsid w:val="000B506B"/>
    <w:rsid w:val="000B7247"/>
    <w:rsid w:val="000C48BE"/>
    <w:rsid w:val="000C790C"/>
    <w:rsid w:val="000D29E8"/>
    <w:rsid w:val="000D4483"/>
    <w:rsid w:val="000D4BA5"/>
    <w:rsid w:val="000E0E55"/>
    <w:rsid w:val="000E2E15"/>
    <w:rsid w:val="000E3822"/>
    <w:rsid w:val="000E51D6"/>
    <w:rsid w:val="000F1C6A"/>
    <w:rsid w:val="0010085C"/>
    <w:rsid w:val="00125545"/>
    <w:rsid w:val="00130CAF"/>
    <w:rsid w:val="00130E61"/>
    <w:rsid w:val="00137F0B"/>
    <w:rsid w:val="001400D3"/>
    <w:rsid w:val="00140BAD"/>
    <w:rsid w:val="00141322"/>
    <w:rsid w:val="00141D42"/>
    <w:rsid w:val="00146D06"/>
    <w:rsid w:val="001552B5"/>
    <w:rsid w:val="0015577C"/>
    <w:rsid w:val="00156D90"/>
    <w:rsid w:val="001626F6"/>
    <w:rsid w:val="00165CC8"/>
    <w:rsid w:val="001663C2"/>
    <w:rsid w:val="001664C2"/>
    <w:rsid w:val="001715F4"/>
    <w:rsid w:val="00182412"/>
    <w:rsid w:val="00185452"/>
    <w:rsid w:val="001866FA"/>
    <w:rsid w:val="00190959"/>
    <w:rsid w:val="00190A9C"/>
    <w:rsid w:val="00190EED"/>
    <w:rsid w:val="00193FE5"/>
    <w:rsid w:val="001A023C"/>
    <w:rsid w:val="001A1062"/>
    <w:rsid w:val="001A2B19"/>
    <w:rsid w:val="001A7545"/>
    <w:rsid w:val="001C4E7B"/>
    <w:rsid w:val="001C6768"/>
    <w:rsid w:val="001C69E3"/>
    <w:rsid w:val="001C70D1"/>
    <w:rsid w:val="001D0777"/>
    <w:rsid w:val="001D2FD5"/>
    <w:rsid w:val="001D35A3"/>
    <w:rsid w:val="001D4AC5"/>
    <w:rsid w:val="001E63F8"/>
    <w:rsid w:val="001F1557"/>
    <w:rsid w:val="001F1B4B"/>
    <w:rsid w:val="001F742B"/>
    <w:rsid w:val="00204667"/>
    <w:rsid w:val="002069DA"/>
    <w:rsid w:val="00206A5B"/>
    <w:rsid w:val="002071CE"/>
    <w:rsid w:val="0021671B"/>
    <w:rsid w:val="00220164"/>
    <w:rsid w:val="002232FF"/>
    <w:rsid w:val="0023263C"/>
    <w:rsid w:val="00232D44"/>
    <w:rsid w:val="00234869"/>
    <w:rsid w:val="00234A19"/>
    <w:rsid w:val="0024085F"/>
    <w:rsid w:val="00241B47"/>
    <w:rsid w:val="00247416"/>
    <w:rsid w:val="002527C3"/>
    <w:rsid w:val="0025445E"/>
    <w:rsid w:val="00254EE0"/>
    <w:rsid w:val="00260C43"/>
    <w:rsid w:val="00261419"/>
    <w:rsid w:val="00261C33"/>
    <w:rsid w:val="002625A4"/>
    <w:rsid w:val="00265EB4"/>
    <w:rsid w:val="00266485"/>
    <w:rsid w:val="00270A45"/>
    <w:rsid w:val="002741FF"/>
    <w:rsid w:val="002745EE"/>
    <w:rsid w:val="00274CF1"/>
    <w:rsid w:val="002751EF"/>
    <w:rsid w:val="00275C18"/>
    <w:rsid w:val="00277D9B"/>
    <w:rsid w:val="00280E6D"/>
    <w:rsid w:val="002817FB"/>
    <w:rsid w:val="002818D4"/>
    <w:rsid w:val="00281A1B"/>
    <w:rsid w:val="00284F6D"/>
    <w:rsid w:val="00286DA8"/>
    <w:rsid w:val="00291C51"/>
    <w:rsid w:val="0029749B"/>
    <w:rsid w:val="002A0D17"/>
    <w:rsid w:val="002A341A"/>
    <w:rsid w:val="002A4331"/>
    <w:rsid w:val="002A716E"/>
    <w:rsid w:val="002B10D2"/>
    <w:rsid w:val="002B19DF"/>
    <w:rsid w:val="002B47AC"/>
    <w:rsid w:val="002C18B9"/>
    <w:rsid w:val="002C25A2"/>
    <w:rsid w:val="002C50AA"/>
    <w:rsid w:val="002C600E"/>
    <w:rsid w:val="002C7008"/>
    <w:rsid w:val="002D189D"/>
    <w:rsid w:val="002E012D"/>
    <w:rsid w:val="002F06BF"/>
    <w:rsid w:val="002F2C13"/>
    <w:rsid w:val="002F3375"/>
    <w:rsid w:val="002F39D6"/>
    <w:rsid w:val="003047B4"/>
    <w:rsid w:val="00305D4F"/>
    <w:rsid w:val="00307864"/>
    <w:rsid w:val="00307CDC"/>
    <w:rsid w:val="00321D9D"/>
    <w:rsid w:val="00322528"/>
    <w:rsid w:val="0032525D"/>
    <w:rsid w:val="00331F07"/>
    <w:rsid w:val="00333B06"/>
    <w:rsid w:val="003344A7"/>
    <w:rsid w:val="00336BEB"/>
    <w:rsid w:val="00336C95"/>
    <w:rsid w:val="003407C5"/>
    <w:rsid w:val="00340E3F"/>
    <w:rsid w:val="00342FC1"/>
    <w:rsid w:val="00353539"/>
    <w:rsid w:val="00357B79"/>
    <w:rsid w:val="003624C5"/>
    <w:rsid w:val="00364326"/>
    <w:rsid w:val="00367B33"/>
    <w:rsid w:val="0037052A"/>
    <w:rsid w:val="003744D1"/>
    <w:rsid w:val="00377D3E"/>
    <w:rsid w:val="00387D70"/>
    <w:rsid w:val="00387F1F"/>
    <w:rsid w:val="00390172"/>
    <w:rsid w:val="00390E6E"/>
    <w:rsid w:val="0039246D"/>
    <w:rsid w:val="00392704"/>
    <w:rsid w:val="003973D0"/>
    <w:rsid w:val="0039775C"/>
    <w:rsid w:val="003A0B18"/>
    <w:rsid w:val="003A2EEB"/>
    <w:rsid w:val="003A33F4"/>
    <w:rsid w:val="003A3D06"/>
    <w:rsid w:val="003A670D"/>
    <w:rsid w:val="003B2729"/>
    <w:rsid w:val="003B293F"/>
    <w:rsid w:val="003D2639"/>
    <w:rsid w:val="003D5B4F"/>
    <w:rsid w:val="003E46CC"/>
    <w:rsid w:val="003F1364"/>
    <w:rsid w:val="003F4B5D"/>
    <w:rsid w:val="004006DF"/>
    <w:rsid w:val="00403946"/>
    <w:rsid w:val="004044CA"/>
    <w:rsid w:val="00404C51"/>
    <w:rsid w:val="00406237"/>
    <w:rsid w:val="00407A4F"/>
    <w:rsid w:val="00411837"/>
    <w:rsid w:val="004149F6"/>
    <w:rsid w:val="00415A49"/>
    <w:rsid w:val="0042100A"/>
    <w:rsid w:val="00425F15"/>
    <w:rsid w:val="00440234"/>
    <w:rsid w:val="00440317"/>
    <w:rsid w:val="00441407"/>
    <w:rsid w:val="00442070"/>
    <w:rsid w:val="00443D86"/>
    <w:rsid w:val="00443ED8"/>
    <w:rsid w:val="004472BC"/>
    <w:rsid w:val="00451B6F"/>
    <w:rsid w:val="00452301"/>
    <w:rsid w:val="00452C06"/>
    <w:rsid w:val="00452C14"/>
    <w:rsid w:val="00454116"/>
    <w:rsid w:val="00454303"/>
    <w:rsid w:val="00454C44"/>
    <w:rsid w:val="00454CB2"/>
    <w:rsid w:val="00462AA1"/>
    <w:rsid w:val="00466340"/>
    <w:rsid w:val="00470A1F"/>
    <w:rsid w:val="00472784"/>
    <w:rsid w:val="004728EB"/>
    <w:rsid w:val="00473592"/>
    <w:rsid w:val="00476466"/>
    <w:rsid w:val="004766B2"/>
    <w:rsid w:val="004878D2"/>
    <w:rsid w:val="00487AE6"/>
    <w:rsid w:val="0049181A"/>
    <w:rsid w:val="00492547"/>
    <w:rsid w:val="00494063"/>
    <w:rsid w:val="00496FB0"/>
    <w:rsid w:val="00497480"/>
    <w:rsid w:val="004A6FEC"/>
    <w:rsid w:val="004B52E7"/>
    <w:rsid w:val="004B5796"/>
    <w:rsid w:val="004B60E7"/>
    <w:rsid w:val="004C3210"/>
    <w:rsid w:val="004C43AA"/>
    <w:rsid w:val="004D0B06"/>
    <w:rsid w:val="004D4701"/>
    <w:rsid w:val="004D5D56"/>
    <w:rsid w:val="004E0254"/>
    <w:rsid w:val="004E2D9D"/>
    <w:rsid w:val="004F2079"/>
    <w:rsid w:val="004F27A9"/>
    <w:rsid w:val="004F7256"/>
    <w:rsid w:val="0050070B"/>
    <w:rsid w:val="005017E4"/>
    <w:rsid w:val="00503058"/>
    <w:rsid w:val="00503102"/>
    <w:rsid w:val="0050316B"/>
    <w:rsid w:val="00506DE4"/>
    <w:rsid w:val="00510D61"/>
    <w:rsid w:val="00516C0A"/>
    <w:rsid w:val="00517EDC"/>
    <w:rsid w:val="0052095D"/>
    <w:rsid w:val="00522C8B"/>
    <w:rsid w:val="00524335"/>
    <w:rsid w:val="00524941"/>
    <w:rsid w:val="00527ACC"/>
    <w:rsid w:val="005312CE"/>
    <w:rsid w:val="005343E5"/>
    <w:rsid w:val="00537208"/>
    <w:rsid w:val="00540FAF"/>
    <w:rsid w:val="00544DA4"/>
    <w:rsid w:val="00545B84"/>
    <w:rsid w:val="00546E04"/>
    <w:rsid w:val="0054D97B"/>
    <w:rsid w:val="00550A5B"/>
    <w:rsid w:val="00557C03"/>
    <w:rsid w:val="005644F5"/>
    <w:rsid w:val="00574276"/>
    <w:rsid w:val="00576A7D"/>
    <w:rsid w:val="00577332"/>
    <w:rsid w:val="0058051F"/>
    <w:rsid w:val="005837D8"/>
    <w:rsid w:val="0058726F"/>
    <w:rsid w:val="00587CCF"/>
    <w:rsid w:val="00592B09"/>
    <w:rsid w:val="00596E23"/>
    <w:rsid w:val="005A2134"/>
    <w:rsid w:val="005A33E3"/>
    <w:rsid w:val="005B01E7"/>
    <w:rsid w:val="005B6145"/>
    <w:rsid w:val="005B6B69"/>
    <w:rsid w:val="005C59D1"/>
    <w:rsid w:val="005C6989"/>
    <w:rsid w:val="005C7937"/>
    <w:rsid w:val="005D0828"/>
    <w:rsid w:val="005D0B05"/>
    <w:rsid w:val="005D1682"/>
    <w:rsid w:val="005D3FF2"/>
    <w:rsid w:val="005D52F2"/>
    <w:rsid w:val="005E168D"/>
    <w:rsid w:val="005E1E2A"/>
    <w:rsid w:val="005E5762"/>
    <w:rsid w:val="005E6A58"/>
    <w:rsid w:val="005E6B18"/>
    <w:rsid w:val="005E7595"/>
    <w:rsid w:val="005F1565"/>
    <w:rsid w:val="005F590B"/>
    <w:rsid w:val="005F76C6"/>
    <w:rsid w:val="00600B2D"/>
    <w:rsid w:val="00604564"/>
    <w:rsid w:val="00606BFA"/>
    <w:rsid w:val="00615373"/>
    <w:rsid w:val="00615E04"/>
    <w:rsid w:val="00615E9B"/>
    <w:rsid w:val="00617DF3"/>
    <w:rsid w:val="00621B5C"/>
    <w:rsid w:val="00634F33"/>
    <w:rsid w:val="00635299"/>
    <w:rsid w:val="006352BF"/>
    <w:rsid w:val="00640C87"/>
    <w:rsid w:val="0064416C"/>
    <w:rsid w:val="0065148D"/>
    <w:rsid w:val="00652DA6"/>
    <w:rsid w:val="006531EF"/>
    <w:rsid w:val="00655A83"/>
    <w:rsid w:val="00657C34"/>
    <w:rsid w:val="00660FCF"/>
    <w:rsid w:val="006622CF"/>
    <w:rsid w:val="006632C6"/>
    <w:rsid w:val="00663F2C"/>
    <w:rsid w:val="00665058"/>
    <w:rsid w:val="00666240"/>
    <w:rsid w:val="00674917"/>
    <w:rsid w:val="0067572D"/>
    <w:rsid w:val="0067597D"/>
    <w:rsid w:val="00675AAC"/>
    <w:rsid w:val="006908ED"/>
    <w:rsid w:val="00691E4E"/>
    <w:rsid w:val="00694AB6"/>
    <w:rsid w:val="006A1B72"/>
    <w:rsid w:val="006A2D01"/>
    <w:rsid w:val="006A35F0"/>
    <w:rsid w:val="006A5855"/>
    <w:rsid w:val="006A72BA"/>
    <w:rsid w:val="006A7836"/>
    <w:rsid w:val="006B5955"/>
    <w:rsid w:val="006C05A5"/>
    <w:rsid w:val="006D1B92"/>
    <w:rsid w:val="006D267F"/>
    <w:rsid w:val="006D453A"/>
    <w:rsid w:val="006E2DAE"/>
    <w:rsid w:val="006E5899"/>
    <w:rsid w:val="006E703D"/>
    <w:rsid w:val="006F0A9E"/>
    <w:rsid w:val="006F2DAB"/>
    <w:rsid w:val="00704A82"/>
    <w:rsid w:val="00704C16"/>
    <w:rsid w:val="007054AD"/>
    <w:rsid w:val="00707DDF"/>
    <w:rsid w:val="007103B0"/>
    <w:rsid w:val="00710F07"/>
    <w:rsid w:val="00711734"/>
    <w:rsid w:val="00711BE8"/>
    <w:rsid w:val="0071744D"/>
    <w:rsid w:val="00717E0D"/>
    <w:rsid w:val="007232B1"/>
    <w:rsid w:val="00730CE8"/>
    <w:rsid w:val="0073449B"/>
    <w:rsid w:val="00742209"/>
    <w:rsid w:val="00744C89"/>
    <w:rsid w:val="00746EB0"/>
    <w:rsid w:val="00747611"/>
    <w:rsid w:val="00750735"/>
    <w:rsid w:val="00752F8A"/>
    <w:rsid w:val="00753B80"/>
    <w:rsid w:val="00754DDE"/>
    <w:rsid w:val="00761E5A"/>
    <w:rsid w:val="00761E9E"/>
    <w:rsid w:val="00762759"/>
    <w:rsid w:val="00766ACD"/>
    <w:rsid w:val="00771A19"/>
    <w:rsid w:val="007739C8"/>
    <w:rsid w:val="00776326"/>
    <w:rsid w:val="0077720D"/>
    <w:rsid w:val="00781B5D"/>
    <w:rsid w:val="007825E5"/>
    <w:rsid w:val="007827A0"/>
    <w:rsid w:val="0079744D"/>
    <w:rsid w:val="007979CA"/>
    <w:rsid w:val="007A0BF3"/>
    <w:rsid w:val="007A33FE"/>
    <w:rsid w:val="007A446A"/>
    <w:rsid w:val="007B355B"/>
    <w:rsid w:val="007B5E5B"/>
    <w:rsid w:val="007B63DF"/>
    <w:rsid w:val="007C385A"/>
    <w:rsid w:val="007C3A82"/>
    <w:rsid w:val="007C4E89"/>
    <w:rsid w:val="007C664C"/>
    <w:rsid w:val="007D1063"/>
    <w:rsid w:val="007F27EC"/>
    <w:rsid w:val="007F4428"/>
    <w:rsid w:val="007F7802"/>
    <w:rsid w:val="00801993"/>
    <w:rsid w:val="00801ECD"/>
    <w:rsid w:val="008040F0"/>
    <w:rsid w:val="00804422"/>
    <w:rsid w:val="008121E7"/>
    <w:rsid w:val="00821979"/>
    <w:rsid w:val="00826CF8"/>
    <w:rsid w:val="00833F25"/>
    <w:rsid w:val="00835129"/>
    <w:rsid w:val="00835330"/>
    <w:rsid w:val="00835FC1"/>
    <w:rsid w:val="0085005A"/>
    <w:rsid w:val="00850223"/>
    <w:rsid w:val="00850BD3"/>
    <w:rsid w:val="00851D0C"/>
    <w:rsid w:val="008576CE"/>
    <w:rsid w:val="008715FE"/>
    <w:rsid w:val="00874B02"/>
    <w:rsid w:val="00880293"/>
    <w:rsid w:val="00882B58"/>
    <w:rsid w:val="008837C8"/>
    <w:rsid w:val="008848F5"/>
    <w:rsid w:val="00887806"/>
    <w:rsid w:val="008914FF"/>
    <w:rsid w:val="00893002"/>
    <w:rsid w:val="008A5EC3"/>
    <w:rsid w:val="008A6F15"/>
    <w:rsid w:val="008B2F3F"/>
    <w:rsid w:val="008B58BC"/>
    <w:rsid w:val="008B6FAD"/>
    <w:rsid w:val="008C2963"/>
    <w:rsid w:val="008C4BC3"/>
    <w:rsid w:val="008C6B13"/>
    <w:rsid w:val="008D01E7"/>
    <w:rsid w:val="008D082F"/>
    <w:rsid w:val="008D7BA4"/>
    <w:rsid w:val="008E13FE"/>
    <w:rsid w:val="008E41D5"/>
    <w:rsid w:val="008F0289"/>
    <w:rsid w:val="008F14A8"/>
    <w:rsid w:val="008F1D75"/>
    <w:rsid w:val="008F7FE6"/>
    <w:rsid w:val="0090546E"/>
    <w:rsid w:val="009101AD"/>
    <w:rsid w:val="00910359"/>
    <w:rsid w:val="00911132"/>
    <w:rsid w:val="00913968"/>
    <w:rsid w:val="00914F60"/>
    <w:rsid w:val="009271D1"/>
    <w:rsid w:val="009340D0"/>
    <w:rsid w:val="0093672E"/>
    <w:rsid w:val="00941B45"/>
    <w:rsid w:val="00941E5D"/>
    <w:rsid w:val="00943B28"/>
    <w:rsid w:val="00947187"/>
    <w:rsid w:val="00950106"/>
    <w:rsid w:val="00955989"/>
    <w:rsid w:val="00955D2D"/>
    <w:rsid w:val="009611D1"/>
    <w:rsid w:val="009635B3"/>
    <w:rsid w:val="00967A4D"/>
    <w:rsid w:val="00970762"/>
    <w:rsid w:val="00977C91"/>
    <w:rsid w:val="00980DC2"/>
    <w:rsid w:val="009815CF"/>
    <w:rsid w:val="00981E0F"/>
    <w:rsid w:val="0098224E"/>
    <w:rsid w:val="00985916"/>
    <w:rsid w:val="00986C9A"/>
    <w:rsid w:val="00987D92"/>
    <w:rsid w:val="009902B8"/>
    <w:rsid w:val="00992770"/>
    <w:rsid w:val="00992BBF"/>
    <w:rsid w:val="00995614"/>
    <w:rsid w:val="00996D63"/>
    <w:rsid w:val="00997C2B"/>
    <w:rsid w:val="009A08DA"/>
    <w:rsid w:val="009A12AF"/>
    <w:rsid w:val="009A600E"/>
    <w:rsid w:val="009A6375"/>
    <w:rsid w:val="009A7D30"/>
    <w:rsid w:val="009B1C1A"/>
    <w:rsid w:val="009B1D0B"/>
    <w:rsid w:val="009B33FA"/>
    <w:rsid w:val="009B3BCD"/>
    <w:rsid w:val="009B4174"/>
    <w:rsid w:val="009B7628"/>
    <w:rsid w:val="009D0628"/>
    <w:rsid w:val="009D2377"/>
    <w:rsid w:val="009D282A"/>
    <w:rsid w:val="009D5973"/>
    <w:rsid w:val="009D7254"/>
    <w:rsid w:val="009E0AD1"/>
    <w:rsid w:val="009E1A61"/>
    <w:rsid w:val="009E1E9B"/>
    <w:rsid w:val="009E224C"/>
    <w:rsid w:val="009E2910"/>
    <w:rsid w:val="009E3D28"/>
    <w:rsid w:val="009E5806"/>
    <w:rsid w:val="009E6FD1"/>
    <w:rsid w:val="009F042B"/>
    <w:rsid w:val="00A0501B"/>
    <w:rsid w:val="00A13D57"/>
    <w:rsid w:val="00A17BB7"/>
    <w:rsid w:val="00A17F03"/>
    <w:rsid w:val="00A204A8"/>
    <w:rsid w:val="00A20EB3"/>
    <w:rsid w:val="00A223A7"/>
    <w:rsid w:val="00A228BD"/>
    <w:rsid w:val="00A31B66"/>
    <w:rsid w:val="00A43A63"/>
    <w:rsid w:val="00A44D6D"/>
    <w:rsid w:val="00A463E0"/>
    <w:rsid w:val="00A5199A"/>
    <w:rsid w:val="00A57D0A"/>
    <w:rsid w:val="00A629CC"/>
    <w:rsid w:val="00A65EB3"/>
    <w:rsid w:val="00A664B9"/>
    <w:rsid w:val="00A7242B"/>
    <w:rsid w:val="00A7403D"/>
    <w:rsid w:val="00A758AD"/>
    <w:rsid w:val="00A8695A"/>
    <w:rsid w:val="00A91B77"/>
    <w:rsid w:val="00A9746E"/>
    <w:rsid w:val="00AA45D5"/>
    <w:rsid w:val="00AA47B4"/>
    <w:rsid w:val="00AB345D"/>
    <w:rsid w:val="00AB4E6C"/>
    <w:rsid w:val="00AC0FA3"/>
    <w:rsid w:val="00AC77C0"/>
    <w:rsid w:val="00AD590E"/>
    <w:rsid w:val="00AD72CE"/>
    <w:rsid w:val="00AE1755"/>
    <w:rsid w:val="00AE22B9"/>
    <w:rsid w:val="00AE38A9"/>
    <w:rsid w:val="00AF181F"/>
    <w:rsid w:val="00AF1D90"/>
    <w:rsid w:val="00AF2789"/>
    <w:rsid w:val="00AF2A33"/>
    <w:rsid w:val="00AF3840"/>
    <w:rsid w:val="00AF604B"/>
    <w:rsid w:val="00B06DA2"/>
    <w:rsid w:val="00B11565"/>
    <w:rsid w:val="00B12694"/>
    <w:rsid w:val="00B152FC"/>
    <w:rsid w:val="00B1737E"/>
    <w:rsid w:val="00B261A5"/>
    <w:rsid w:val="00B3AC97"/>
    <w:rsid w:val="00B4223B"/>
    <w:rsid w:val="00B437EA"/>
    <w:rsid w:val="00B44735"/>
    <w:rsid w:val="00B461C4"/>
    <w:rsid w:val="00B46833"/>
    <w:rsid w:val="00B606BB"/>
    <w:rsid w:val="00B61027"/>
    <w:rsid w:val="00B63979"/>
    <w:rsid w:val="00B64EAD"/>
    <w:rsid w:val="00B653C3"/>
    <w:rsid w:val="00B748B2"/>
    <w:rsid w:val="00B75E6C"/>
    <w:rsid w:val="00B7704A"/>
    <w:rsid w:val="00B9035A"/>
    <w:rsid w:val="00B90AB3"/>
    <w:rsid w:val="00B91266"/>
    <w:rsid w:val="00B93968"/>
    <w:rsid w:val="00B96AFE"/>
    <w:rsid w:val="00B96E2B"/>
    <w:rsid w:val="00B97B94"/>
    <w:rsid w:val="00BA17FD"/>
    <w:rsid w:val="00BA5C33"/>
    <w:rsid w:val="00BA6E5D"/>
    <w:rsid w:val="00BB0E2E"/>
    <w:rsid w:val="00BB34DF"/>
    <w:rsid w:val="00BB3EA1"/>
    <w:rsid w:val="00BC0F99"/>
    <w:rsid w:val="00BC1D18"/>
    <w:rsid w:val="00BC2E08"/>
    <w:rsid w:val="00BC32EE"/>
    <w:rsid w:val="00BC3556"/>
    <w:rsid w:val="00BC7A67"/>
    <w:rsid w:val="00BD02EC"/>
    <w:rsid w:val="00BD0C74"/>
    <w:rsid w:val="00BD140C"/>
    <w:rsid w:val="00BD142D"/>
    <w:rsid w:val="00BD251C"/>
    <w:rsid w:val="00BD2CA2"/>
    <w:rsid w:val="00BE276E"/>
    <w:rsid w:val="00BE5807"/>
    <w:rsid w:val="00BE7BC1"/>
    <w:rsid w:val="00BF27EA"/>
    <w:rsid w:val="00BF48B0"/>
    <w:rsid w:val="00C0399C"/>
    <w:rsid w:val="00C0570D"/>
    <w:rsid w:val="00C1682E"/>
    <w:rsid w:val="00C17176"/>
    <w:rsid w:val="00C2096C"/>
    <w:rsid w:val="00C20AB9"/>
    <w:rsid w:val="00C22128"/>
    <w:rsid w:val="00C22BD7"/>
    <w:rsid w:val="00C2466D"/>
    <w:rsid w:val="00C2534E"/>
    <w:rsid w:val="00C33881"/>
    <w:rsid w:val="00C33CF5"/>
    <w:rsid w:val="00C3512C"/>
    <w:rsid w:val="00C45414"/>
    <w:rsid w:val="00C455E7"/>
    <w:rsid w:val="00C4599D"/>
    <w:rsid w:val="00C47042"/>
    <w:rsid w:val="00C47D4B"/>
    <w:rsid w:val="00C542CC"/>
    <w:rsid w:val="00C55378"/>
    <w:rsid w:val="00C62FD5"/>
    <w:rsid w:val="00C639D5"/>
    <w:rsid w:val="00C732E0"/>
    <w:rsid w:val="00C7473F"/>
    <w:rsid w:val="00C74945"/>
    <w:rsid w:val="00C76B07"/>
    <w:rsid w:val="00C83258"/>
    <w:rsid w:val="00C833EA"/>
    <w:rsid w:val="00C87726"/>
    <w:rsid w:val="00C9061B"/>
    <w:rsid w:val="00C93F6A"/>
    <w:rsid w:val="00CA1104"/>
    <w:rsid w:val="00CA1B2B"/>
    <w:rsid w:val="00CA5E3B"/>
    <w:rsid w:val="00CA67EA"/>
    <w:rsid w:val="00CB1689"/>
    <w:rsid w:val="00CC5294"/>
    <w:rsid w:val="00CC5E28"/>
    <w:rsid w:val="00CC7134"/>
    <w:rsid w:val="00CD3AE7"/>
    <w:rsid w:val="00CD6DB0"/>
    <w:rsid w:val="00CD6E3A"/>
    <w:rsid w:val="00CD71A5"/>
    <w:rsid w:val="00CE164F"/>
    <w:rsid w:val="00CF4128"/>
    <w:rsid w:val="00D06022"/>
    <w:rsid w:val="00D1095C"/>
    <w:rsid w:val="00D12B6F"/>
    <w:rsid w:val="00D2132D"/>
    <w:rsid w:val="00D2417A"/>
    <w:rsid w:val="00D241C7"/>
    <w:rsid w:val="00D24336"/>
    <w:rsid w:val="00D40071"/>
    <w:rsid w:val="00D40468"/>
    <w:rsid w:val="00D40B5D"/>
    <w:rsid w:val="00D5012D"/>
    <w:rsid w:val="00D537D5"/>
    <w:rsid w:val="00D53E04"/>
    <w:rsid w:val="00D561E8"/>
    <w:rsid w:val="00D5683C"/>
    <w:rsid w:val="00D604DA"/>
    <w:rsid w:val="00D628CE"/>
    <w:rsid w:val="00D63804"/>
    <w:rsid w:val="00D74B05"/>
    <w:rsid w:val="00D75F0C"/>
    <w:rsid w:val="00D80341"/>
    <w:rsid w:val="00D85347"/>
    <w:rsid w:val="00D94A3D"/>
    <w:rsid w:val="00D94D5C"/>
    <w:rsid w:val="00DA205D"/>
    <w:rsid w:val="00DA3621"/>
    <w:rsid w:val="00DA5807"/>
    <w:rsid w:val="00DB0AC7"/>
    <w:rsid w:val="00DB593A"/>
    <w:rsid w:val="00DB7A73"/>
    <w:rsid w:val="00DC4B5C"/>
    <w:rsid w:val="00DC61D8"/>
    <w:rsid w:val="00DD262E"/>
    <w:rsid w:val="00DD3060"/>
    <w:rsid w:val="00DD5D42"/>
    <w:rsid w:val="00DD6456"/>
    <w:rsid w:val="00DD7B87"/>
    <w:rsid w:val="00DE3692"/>
    <w:rsid w:val="00DE4305"/>
    <w:rsid w:val="00DE7AEE"/>
    <w:rsid w:val="00DF1A4C"/>
    <w:rsid w:val="00DF3D91"/>
    <w:rsid w:val="00E06CA1"/>
    <w:rsid w:val="00E112FF"/>
    <w:rsid w:val="00E161F2"/>
    <w:rsid w:val="00E176CD"/>
    <w:rsid w:val="00E21BF0"/>
    <w:rsid w:val="00E23057"/>
    <w:rsid w:val="00E2748D"/>
    <w:rsid w:val="00E31A27"/>
    <w:rsid w:val="00E42FE0"/>
    <w:rsid w:val="00E5298F"/>
    <w:rsid w:val="00E54C50"/>
    <w:rsid w:val="00E60F16"/>
    <w:rsid w:val="00E6587C"/>
    <w:rsid w:val="00E67034"/>
    <w:rsid w:val="00E6778D"/>
    <w:rsid w:val="00E71774"/>
    <w:rsid w:val="00E750D9"/>
    <w:rsid w:val="00E76C88"/>
    <w:rsid w:val="00E7747C"/>
    <w:rsid w:val="00E77647"/>
    <w:rsid w:val="00E85DB8"/>
    <w:rsid w:val="00E9643F"/>
    <w:rsid w:val="00EA043E"/>
    <w:rsid w:val="00EA5752"/>
    <w:rsid w:val="00EB1863"/>
    <w:rsid w:val="00EB20B5"/>
    <w:rsid w:val="00EB487F"/>
    <w:rsid w:val="00EB6B99"/>
    <w:rsid w:val="00EC5A34"/>
    <w:rsid w:val="00ED4D92"/>
    <w:rsid w:val="00EE0D55"/>
    <w:rsid w:val="00EE1E52"/>
    <w:rsid w:val="00EE28B6"/>
    <w:rsid w:val="00EE2B2C"/>
    <w:rsid w:val="00EE3A1E"/>
    <w:rsid w:val="00EE51E8"/>
    <w:rsid w:val="00F01EA1"/>
    <w:rsid w:val="00F1177D"/>
    <w:rsid w:val="00F1211C"/>
    <w:rsid w:val="00F1718E"/>
    <w:rsid w:val="00F200CE"/>
    <w:rsid w:val="00F20918"/>
    <w:rsid w:val="00F2199A"/>
    <w:rsid w:val="00F21C8B"/>
    <w:rsid w:val="00F22804"/>
    <w:rsid w:val="00F22FA2"/>
    <w:rsid w:val="00F23BC6"/>
    <w:rsid w:val="00F26DCF"/>
    <w:rsid w:val="00F32358"/>
    <w:rsid w:val="00F34691"/>
    <w:rsid w:val="00F40FD7"/>
    <w:rsid w:val="00F43BEC"/>
    <w:rsid w:val="00F4489F"/>
    <w:rsid w:val="00F50328"/>
    <w:rsid w:val="00F53686"/>
    <w:rsid w:val="00F570BC"/>
    <w:rsid w:val="00F57F6A"/>
    <w:rsid w:val="00F60D22"/>
    <w:rsid w:val="00F84C2D"/>
    <w:rsid w:val="00F84DEF"/>
    <w:rsid w:val="00F856C9"/>
    <w:rsid w:val="00F85DEA"/>
    <w:rsid w:val="00F86689"/>
    <w:rsid w:val="00F91845"/>
    <w:rsid w:val="00F93853"/>
    <w:rsid w:val="00F955DF"/>
    <w:rsid w:val="00FA2B72"/>
    <w:rsid w:val="00FA68DC"/>
    <w:rsid w:val="00FB29EC"/>
    <w:rsid w:val="00FB308F"/>
    <w:rsid w:val="00FC0A65"/>
    <w:rsid w:val="00FC2FB6"/>
    <w:rsid w:val="00FC6610"/>
    <w:rsid w:val="00FD511B"/>
    <w:rsid w:val="00FD61AE"/>
    <w:rsid w:val="00FE02E5"/>
    <w:rsid w:val="00FE1746"/>
    <w:rsid w:val="00FE1F42"/>
    <w:rsid w:val="00FE51EF"/>
    <w:rsid w:val="00FF0CAF"/>
    <w:rsid w:val="01BDAA78"/>
    <w:rsid w:val="01EC62CF"/>
    <w:rsid w:val="024FCFDF"/>
    <w:rsid w:val="0261245F"/>
    <w:rsid w:val="0273BAE9"/>
    <w:rsid w:val="027D926D"/>
    <w:rsid w:val="02A5A0EA"/>
    <w:rsid w:val="02AD04CC"/>
    <w:rsid w:val="02B96941"/>
    <w:rsid w:val="031904F0"/>
    <w:rsid w:val="034C0696"/>
    <w:rsid w:val="0383717D"/>
    <w:rsid w:val="03B77C86"/>
    <w:rsid w:val="03C9D020"/>
    <w:rsid w:val="0428B34E"/>
    <w:rsid w:val="049B6409"/>
    <w:rsid w:val="049E072A"/>
    <w:rsid w:val="04A5CC77"/>
    <w:rsid w:val="05464BF3"/>
    <w:rsid w:val="0576719E"/>
    <w:rsid w:val="05A4CA61"/>
    <w:rsid w:val="06383470"/>
    <w:rsid w:val="0697C406"/>
    <w:rsid w:val="06FAAD39"/>
    <w:rsid w:val="072022D7"/>
    <w:rsid w:val="076A7116"/>
    <w:rsid w:val="08193C82"/>
    <w:rsid w:val="08979D9B"/>
    <w:rsid w:val="08BF1163"/>
    <w:rsid w:val="09A7C8A5"/>
    <w:rsid w:val="0A285643"/>
    <w:rsid w:val="0A385D15"/>
    <w:rsid w:val="0A4C6BF7"/>
    <w:rsid w:val="0A5EB405"/>
    <w:rsid w:val="0A84EE67"/>
    <w:rsid w:val="0AEB37A7"/>
    <w:rsid w:val="0B159F65"/>
    <w:rsid w:val="0B39D5F6"/>
    <w:rsid w:val="0C9796D2"/>
    <w:rsid w:val="0CB2FAF4"/>
    <w:rsid w:val="0CB7803C"/>
    <w:rsid w:val="0CEF7649"/>
    <w:rsid w:val="0D7401CD"/>
    <w:rsid w:val="0DBB666F"/>
    <w:rsid w:val="0E127B20"/>
    <w:rsid w:val="0E173E4B"/>
    <w:rsid w:val="0E37460F"/>
    <w:rsid w:val="0F1A1820"/>
    <w:rsid w:val="0F1F8406"/>
    <w:rsid w:val="0F4DCC6F"/>
    <w:rsid w:val="0F7C7462"/>
    <w:rsid w:val="0F8AC157"/>
    <w:rsid w:val="0F8B8EC2"/>
    <w:rsid w:val="0FC20753"/>
    <w:rsid w:val="0FE4EE31"/>
    <w:rsid w:val="0FF55CE9"/>
    <w:rsid w:val="0FFCD212"/>
    <w:rsid w:val="103DD505"/>
    <w:rsid w:val="1042C520"/>
    <w:rsid w:val="10B7E946"/>
    <w:rsid w:val="10C459B7"/>
    <w:rsid w:val="10DD6AF3"/>
    <w:rsid w:val="10F42FEB"/>
    <w:rsid w:val="111E46A7"/>
    <w:rsid w:val="115CBDAD"/>
    <w:rsid w:val="1179CE26"/>
    <w:rsid w:val="11844F7F"/>
    <w:rsid w:val="11EC7659"/>
    <w:rsid w:val="11F5A66A"/>
    <w:rsid w:val="122D53F9"/>
    <w:rsid w:val="124B9BF7"/>
    <w:rsid w:val="12692E72"/>
    <w:rsid w:val="12A815DF"/>
    <w:rsid w:val="12E76F44"/>
    <w:rsid w:val="138D06EC"/>
    <w:rsid w:val="13C5997B"/>
    <w:rsid w:val="1440EF8B"/>
    <w:rsid w:val="1478F190"/>
    <w:rsid w:val="158B6678"/>
    <w:rsid w:val="16433C89"/>
    <w:rsid w:val="168D31E7"/>
    <w:rsid w:val="169A81EA"/>
    <w:rsid w:val="17843E56"/>
    <w:rsid w:val="17DA68A6"/>
    <w:rsid w:val="185DF782"/>
    <w:rsid w:val="1899110B"/>
    <w:rsid w:val="18A2EE71"/>
    <w:rsid w:val="18CD6E7C"/>
    <w:rsid w:val="1912B2E4"/>
    <w:rsid w:val="196B7ED1"/>
    <w:rsid w:val="1985BF84"/>
    <w:rsid w:val="19EC6CF2"/>
    <w:rsid w:val="1A2BD54D"/>
    <w:rsid w:val="1A5D4404"/>
    <w:rsid w:val="1A90999A"/>
    <w:rsid w:val="1B18E4A4"/>
    <w:rsid w:val="1B57E746"/>
    <w:rsid w:val="1C72F561"/>
    <w:rsid w:val="1C9B7231"/>
    <w:rsid w:val="1CF18573"/>
    <w:rsid w:val="1D2D464E"/>
    <w:rsid w:val="1D3DB506"/>
    <w:rsid w:val="1D8A2597"/>
    <w:rsid w:val="1DBB5683"/>
    <w:rsid w:val="1DF7C3EA"/>
    <w:rsid w:val="1E747205"/>
    <w:rsid w:val="1EAC9DA5"/>
    <w:rsid w:val="1F75AC16"/>
    <w:rsid w:val="1F7BBA95"/>
    <w:rsid w:val="1FF8A308"/>
    <w:rsid w:val="20317311"/>
    <w:rsid w:val="203A44FA"/>
    <w:rsid w:val="206871EF"/>
    <w:rsid w:val="207651E7"/>
    <w:rsid w:val="20A299B6"/>
    <w:rsid w:val="211D859F"/>
    <w:rsid w:val="212531DF"/>
    <w:rsid w:val="212AA22E"/>
    <w:rsid w:val="212DC2CF"/>
    <w:rsid w:val="212EE9DA"/>
    <w:rsid w:val="21340E69"/>
    <w:rsid w:val="218B5D73"/>
    <w:rsid w:val="221AA826"/>
    <w:rsid w:val="223145E0"/>
    <w:rsid w:val="22D3BE95"/>
    <w:rsid w:val="22F93433"/>
    <w:rsid w:val="23B01F93"/>
    <w:rsid w:val="23BAC920"/>
    <w:rsid w:val="23D3F17D"/>
    <w:rsid w:val="23EBFA0C"/>
    <w:rsid w:val="24285838"/>
    <w:rsid w:val="2437592B"/>
    <w:rsid w:val="2499B34F"/>
    <w:rsid w:val="24AA357B"/>
    <w:rsid w:val="24B7D95C"/>
    <w:rsid w:val="2514D9DD"/>
    <w:rsid w:val="2540A78F"/>
    <w:rsid w:val="25C2952C"/>
    <w:rsid w:val="25C5D0F0"/>
    <w:rsid w:val="25FF1AD3"/>
    <w:rsid w:val="26A231EE"/>
    <w:rsid w:val="27838C10"/>
    <w:rsid w:val="27A59C21"/>
    <w:rsid w:val="27F963C8"/>
    <w:rsid w:val="27F9E71E"/>
    <w:rsid w:val="2877B0D9"/>
    <w:rsid w:val="295D62F4"/>
    <w:rsid w:val="297CE445"/>
    <w:rsid w:val="2A4CC340"/>
    <w:rsid w:val="2A934841"/>
    <w:rsid w:val="2ADBF1E6"/>
    <w:rsid w:val="2AE42D4F"/>
    <w:rsid w:val="2B03AEA0"/>
    <w:rsid w:val="2B5C79D4"/>
    <w:rsid w:val="2B952462"/>
    <w:rsid w:val="2B9CB254"/>
    <w:rsid w:val="2BA76864"/>
    <w:rsid w:val="2C269A24"/>
    <w:rsid w:val="2C88EC68"/>
    <w:rsid w:val="2CC5EB39"/>
    <w:rsid w:val="2CDD8584"/>
    <w:rsid w:val="2CF9DEAC"/>
    <w:rsid w:val="2D650DA3"/>
    <w:rsid w:val="2DB3B566"/>
    <w:rsid w:val="2DBEAA04"/>
    <w:rsid w:val="2DD63FAA"/>
    <w:rsid w:val="2DE0BAC7"/>
    <w:rsid w:val="2E01A50B"/>
    <w:rsid w:val="2E24BCC9"/>
    <w:rsid w:val="2E32ED18"/>
    <w:rsid w:val="2E81AD25"/>
    <w:rsid w:val="2F155DE6"/>
    <w:rsid w:val="2FB0168E"/>
    <w:rsid w:val="2FBE2A68"/>
    <w:rsid w:val="3000FD82"/>
    <w:rsid w:val="300B9853"/>
    <w:rsid w:val="30418C50"/>
    <w:rsid w:val="30A1BF5D"/>
    <w:rsid w:val="30A23997"/>
    <w:rsid w:val="31794918"/>
    <w:rsid w:val="3189ED72"/>
    <w:rsid w:val="31DB5EEE"/>
    <w:rsid w:val="324408BD"/>
    <w:rsid w:val="3250039F"/>
    <w:rsid w:val="3263BFB0"/>
    <w:rsid w:val="33001FE3"/>
    <w:rsid w:val="33115649"/>
    <w:rsid w:val="33141D5A"/>
    <w:rsid w:val="334E551A"/>
    <w:rsid w:val="334FE438"/>
    <w:rsid w:val="33802BB5"/>
    <w:rsid w:val="33B6256E"/>
    <w:rsid w:val="342F112C"/>
    <w:rsid w:val="343708DE"/>
    <w:rsid w:val="34E74C94"/>
    <w:rsid w:val="3534EFF4"/>
    <w:rsid w:val="35361B18"/>
    <w:rsid w:val="354F2600"/>
    <w:rsid w:val="3563189A"/>
    <w:rsid w:val="356AE5B1"/>
    <w:rsid w:val="356BFC6F"/>
    <w:rsid w:val="357F6A00"/>
    <w:rsid w:val="3583834F"/>
    <w:rsid w:val="35BB4479"/>
    <w:rsid w:val="35E340CA"/>
    <w:rsid w:val="366CCD7F"/>
    <w:rsid w:val="374928EC"/>
    <w:rsid w:val="3859E6B5"/>
    <w:rsid w:val="3880C407"/>
    <w:rsid w:val="389A0E73"/>
    <w:rsid w:val="391EA5F8"/>
    <w:rsid w:val="3929D627"/>
    <w:rsid w:val="39A46E41"/>
    <w:rsid w:val="39BD0D68"/>
    <w:rsid w:val="3A0E1180"/>
    <w:rsid w:val="3A4236C9"/>
    <w:rsid w:val="3A6608B3"/>
    <w:rsid w:val="3A6C70E4"/>
    <w:rsid w:val="3AA28CB2"/>
    <w:rsid w:val="3AE02E8E"/>
    <w:rsid w:val="3AE58892"/>
    <w:rsid w:val="3B1E97C7"/>
    <w:rsid w:val="3B3E1918"/>
    <w:rsid w:val="3B831007"/>
    <w:rsid w:val="3BBF9A14"/>
    <w:rsid w:val="3BDD1119"/>
    <w:rsid w:val="3C08D8BD"/>
    <w:rsid w:val="3C1485C9"/>
    <w:rsid w:val="3C9F1032"/>
    <w:rsid w:val="3CEFCBAC"/>
    <w:rsid w:val="3CF86EAB"/>
    <w:rsid w:val="3D2BC441"/>
    <w:rsid w:val="3D8D1458"/>
    <w:rsid w:val="3DA629FA"/>
    <w:rsid w:val="3DAFEF5A"/>
    <w:rsid w:val="3DB289F6"/>
    <w:rsid w:val="3DC7A32B"/>
    <w:rsid w:val="3DD6C2B8"/>
    <w:rsid w:val="3DD6CA63"/>
    <w:rsid w:val="3E0FAD23"/>
    <w:rsid w:val="3E64B6E7"/>
    <w:rsid w:val="3EA21FE4"/>
    <w:rsid w:val="3ED2458F"/>
    <w:rsid w:val="3F66EB3C"/>
    <w:rsid w:val="3FD6B0F4"/>
    <w:rsid w:val="3FEA8106"/>
    <w:rsid w:val="401B9D4B"/>
    <w:rsid w:val="40578B4F"/>
    <w:rsid w:val="40692199"/>
    <w:rsid w:val="407D5304"/>
    <w:rsid w:val="408FCB0D"/>
    <w:rsid w:val="40E8556A"/>
    <w:rsid w:val="410C01F2"/>
    <w:rsid w:val="412431FF"/>
    <w:rsid w:val="417C42B7"/>
    <w:rsid w:val="41A9B6FA"/>
    <w:rsid w:val="41BF2416"/>
    <w:rsid w:val="41F22679"/>
    <w:rsid w:val="42192365"/>
    <w:rsid w:val="424E45C8"/>
    <w:rsid w:val="425C61B7"/>
    <w:rsid w:val="42754EFD"/>
    <w:rsid w:val="431B2F9D"/>
    <w:rsid w:val="43C867EE"/>
    <w:rsid w:val="43F50BFE"/>
    <w:rsid w:val="44717356"/>
    <w:rsid w:val="44B20F9D"/>
    <w:rsid w:val="44D5E59F"/>
    <w:rsid w:val="44DD737A"/>
    <w:rsid w:val="44EF0E6E"/>
    <w:rsid w:val="45A23ED2"/>
    <w:rsid w:val="45EE5F67"/>
    <w:rsid w:val="45EFFA33"/>
    <w:rsid w:val="46060FD9"/>
    <w:rsid w:val="464DDFFE"/>
    <w:rsid w:val="465D2811"/>
    <w:rsid w:val="46AEA328"/>
    <w:rsid w:val="46EDCFC6"/>
    <w:rsid w:val="47788D32"/>
    <w:rsid w:val="47823281"/>
    <w:rsid w:val="478C1B3C"/>
    <w:rsid w:val="4793AB5C"/>
    <w:rsid w:val="47F06B3B"/>
    <w:rsid w:val="484DC6A7"/>
    <w:rsid w:val="4896F4E5"/>
    <w:rsid w:val="48A62FD0"/>
    <w:rsid w:val="48AD388C"/>
    <w:rsid w:val="49153B91"/>
    <w:rsid w:val="4917E6F7"/>
    <w:rsid w:val="4962260C"/>
    <w:rsid w:val="49745750"/>
    <w:rsid w:val="49951C6D"/>
    <w:rsid w:val="49BD30FE"/>
    <w:rsid w:val="49FFB752"/>
    <w:rsid w:val="4A510E7F"/>
    <w:rsid w:val="4A7F028E"/>
    <w:rsid w:val="4AF4FB96"/>
    <w:rsid w:val="4AF7B228"/>
    <w:rsid w:val="4B16D565"/>
    <w:rsid w:val="4B173379"/>
    <w:rsid w:val="4B3C5470"/>
    <w:rsid w:val="4BADEBB7"/>
    <w:rsid w:val="4BC50263"/>
    <w:rsid w:val="4BEA7801"/>
    <w:rsid w:val="4C094550"/>
    <w:rsid w:val="4C1A9DAC"/>
    <w:rsid w:val="4D3A5F48"/>
    <w:rsid w:val="4DF2B544"/>
    <w:rsid w:val="4E129B0A"/>
    <w:rsid w:val="4E44C66E"/>
    <w:rsid w:val="4E6FD0F8"/>
    <w:rsid w:val="4EE73A69"/>
    <w:rsid w:val="4F26003C"/>
    <w:rsid w:val="4F56BB92"/>
    <w:rsid w:val="4FA18B56"/>
    <w:rsid w:val="4FB9A617"/>
    <w:rsid w:val="4FE37761"/>
    <w:rsid w:val="50365F34"/>
    <w:rsid w:val="50C0C61A"/>
    <w:rsid w:val="51199DDA"/>
    <w:rsid w:val="51319178"/>
    <w:rsid w:val="51C957FE"/>
    <w:rsid w:val="520CF12F"/>
    <w:rsid w:val="52137CA6"/>
    <w:rsid w:val="522818D5"/>
    <w:rsid w:val="52723681"/>
    <w:rsid w:val="533D10FD"/>
    <w:rsid w:val="536532F7"/>
    <w:rsid w:val="53E35597"/>
    <w:rsid w:val="54594804"/>
    <w:rsid w:val="54B68DDB"/>
    <w:rsid w:val="54DFBC9A"/>
    <w:rsid w:val="54F84D0F"/>
    <w:rsid w:val="55129F07"/>
    <w:rsid w:val="5547D84E"/>
    <w:rsid w:val="555A9994"/>
    <w:rsid w:val="5562C92E"/>
    <w:rsid w:val="55B5D5B7"/>
    <w:rsid w:val="55C6C94E"/>
    <w:rsid w:val="562C1AA0"/>
    <w:rsid w:val="56515DA8"/>
    <w:rsid w:val="5738E189"/>
    <w:rsid w:val="5798AB70"/>
    <w:rsid w:val="579E5757"/>
    <w:rsid w:val="57BE8EFF"/>
    <w:rsid w:val="58175D5C"/>
    <w:rsid w:val="581B591B"/>
    <w:rsid w:val="581DFA34"/>
    <w:rsid w:val="58F038C3"/>
    <w:rsid w:val="592DCE7F"/>
    <w:rsid w:val="59AC5281"/>
    <w:rsid w:val="5A18EA1D"/>
    <w:rsid w:val="5A38F1FF"/>
    <w:rsid w:val="5A7B3140"/>
    <w:rsid w:val="5AEB1001"/>
    <w:rsid w:val="5B55C0DA"/>
    <w:rsid w:val="5B759E33"/>
    <w:rsid w:val="5BF6E7F8"/>
    <w:rsid w:val="5C550824"/>
    <w:rsid w:val="5D47CDFD"/>
    <w:rsid w:val="5D4C927A"/>
    <w:rsid w:val="5D54B7EF"/>
    <w:rsid w:val="5D98C1A4"/>
    <w:rsid w:val="5DED1804"/>
    <w:rsid w:val="5E0BF677"/>
    <w:rsid w:val="5E324495"/>
    <w:rsid w:val="5E70ADCE"/>
    <w:rsid w:val="5E907F9D"/>
    <w:rsid w:val="5EC3B3DC"/>
    <w:rsid w:val="5EE6D27D"/>
    <w:rsid w:val="5F21A4E1"/>
    <w:rsid w:val="5F2ECF62"/>
    <w:rsid w:val="5FC6EEE8"/>
    <w:rsid w:val="601B9405"/>
    <w:rsid w:val="609B5EB6"/>
    <w:rsid w:val="60C2D137"/>
    <w:rsid w:val="61049FFD"/>
    <w:rsid w:val="61227F75"/>
    <w:rsid w:val="612456F0"/>
    <w:rsid w:val="6134C5A8"/>
    <w:rsid w:val="615FB736"/>
    <w:rsid w:val="616B0CD1"/>
    <w:rsid w:val="61A94625"/>
    <w:rsid w:val="61CEBDB5"/>
    <w:rsid w:val="61E2CA34"/>
    <w:rsid w:val="61F36718"/>
    <w:rsid w:val="61F435EB"/>
    <w:rsid w:val="62740D25"/>
    <w:rsid w:val="62DE76E1"/>
    <w:rsid w:val="62E72A0B"/>
    <w:rsid w:val="633C970D"/>
    <w:rsid w:val="638F3779"/>
    <w:rsid w:val="63BB4E53"/>
    <w:rsid w:val="63CE0CCF"/>
    <w:rsid w:val="63D1725C"/>
    <w:rsid w:val="63E5B731"/>
    <w:rsid w:val="63ED8E20"/>
    <w:rsid w:val="64122958"/>
    <w:rsid w:val="6431475B"/>
    <w:rsid w:val="6431B1E1"/>
    <w:rsid w:val="6469D20F"/>
    <w:rsid w:val="64E1038D"/>
    <w:rsid w:val="651BBAA9"/>
    <w:rsid w:val="6542D8B8"/>
    <w:rsid w:val="6584052E"/>
    <w:rsid w:val="65F93F04"/>
    <w:rsid w:val="66B58DA5"/>
    <w:rsid w:val="66E1AACD"/>
    <w:rsid w:val="671A7DF5"/>
    <w:rsid w:val="67656931"/>
    <w:rsid w:val="678BBB4E"/>
    <w:rsid w:val="6797B2C4"/>
    <w:rsid w:val="67C3895D"/>
    <w:rsid w:val="67C58E24"/>
    <w:rsid w:val="67C93787"/>
    <w:rsid w:val="67FC64E6"/>
    <w:rsid w:val="68D29FB4"/>
    <w:rsid w:val="692D915A"/>
    <w:rsid w:val="698CA35E"/>
    <w:rsid w:val="699D6041"/>
    <w:rsid w:val="69D9E032"/>
    <w:rsid w:val="69EF2BCC"/>
    <w:rsid w:val="6AB31958"/>
    <w:rsid w:val="6AD91393"/>
    <w:rsid w:val="6B37000E"/>
    <w:rsid w:val="6B830B29"/>
    <w:rsid w:val="6BC458D2"/>
    <w:rsid w:val="6C74E3F4"/>
    <w:rsid w:val="6CC101CA"/>
    <w:rsid w:val="6D0F4705"/>
    <w:rsid w:val="6D3E0745"/>
    <w:rsid w:val="6D79B392"/>
    <w:rsid w:val="6E18A1DB"/>
    <w:rsid w:val="6E1CCAAD"/>
    <w:rsid w:val="6E630F99"/>
    <w:rsid w:val="7075A807"/>
    <w:rsid w:val="7095EE2D"/>
    <w:rsid w:val="70A49704"/>
    <w:rsid w:val="70B5B23D"/>
    <w:rsid w:val="71040318"/>
    <w:rsid w:val="7150429D"/>
    <w:rsid w:val="7231BE8E"/>
    <w:rsid w:val="72830F89"/>
    <w:rsid w:val="72E4E774"/>
    <w:rsid w:val="72EC12FE"/>
    <w:rsid w:val="73005182"/>
    <w:rsid w:val="7318E159"/>
    <w:rsid w:val="73AD48C9"/>
    <w:rsid w:val="73B3B6E0"/>
    <w:rsid w:val="73D97D0C"/>
    <w:rsid w:val="73ED2494"/>
    <w:rsid w:val="7462D612"/>
    <w:rsid w:val="74874CCE"/>
    <w:rsid w:val="7487E35F"/>
    <w:rsid w:val="74C0BEE3"/>
    <w:rsid w:val="74EE210C"/>
    <w:rsid w:val="75270823"/>
    <w:rsid w:val="753C28CB"/>
    <w:rsid w:val="7549192A"/>
    <w:rsid w:val="754ADE97"/>
    <w:rsid w:val="7595AF21"/>
    <w:rsid w:val="759FBA11"/>
    <w:rsid w:val="7654429C"/>
    <w:rsid w:val="76879832"/>
    <w:rsid w:val="76DF9484"/>
    <w:rsid w:val="76E0D865"/>
    <w:rsid w:val="770D19E9"/>
    <w:rsid w:val="770E5DE7"/>
    <w:rsid w:val="7733FB0F"/>
    <w:rsid w:val="776946C8"/>
    <w:rsid w:val="7851005E"/>
    <w:rsid w:val="7883BC8B"/>
    <w:rsid w:val="79E39EBD"/>
    <w:rsid w:val="7A1C8A4D"/>
    <w:rsid w:val="7A651E24"/>
    <w:rsid w:val="7AA0E78A"/>
    <w:rsid w:val="7AD616B1"/>
    <w:rsid w:val="7ADB34EC"/>
    <w:rsid w:val="7B3DF361"/>
    <w:rsid w:val="7BB5072A"/>
    <w:rsid w:val="7BBA201B"/>
    <w:rsid w:val="7C08BCAF"/>
    <w:rsid w:val="7C376A53"/>
    <w:rsid w:val="7C7BBA8D"/>
    <w:rsid w:val="7C92F544"/>
    <w:rsid w:val="7D243BDF"/>
    <w:rsid w:val="7D431044"/>
    <w:rsid w:val="7D455F67"/>
    <w:rsid w:val="7D484C52"/>
    <w:rsid w:val="7D86B837"/>
    <w:rsid w:val="7DCD4747"/>
    <w:rsid w:val="7DD8884C"/>
    <w:rsid w:val="7DF2A63A"/>
    <w:rsid w:val="7E2EC5A5"/>
    <w:rsid w:val="7E4CAC0D"/>
    <w:rsid w:val="7EAF9E32"/>
    <w:rsid w:val="7EB4C20C"/>
    <w:rsid w:val="7EFE12C3"/>
    <w:rsid w:val="7F26C938"/>
    <w:rsid w:val="7F4B2FFC"/>
    <w:rsid w:val="7F8D3A9B"/>
    <w:rsid w:val="7F8E9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BE77"/>
  <w15:chartTrackingRefBased/>
  <w15:docId w15:val="{BFBC41EF-1A6C-4602-8981-8AD94E5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3E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2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84"/>
    <w:rPr>
      <w:rFonts w:ascii="Segoe UI" w:hAnsi="Segoe UI" w:cs="Segoe UI"/>
      <w:sz w:val="18"/>
      <w:szCs w:val="18"/>
    </w:rPr>
  </w:style>
  <w:style w:type="character" w:styleId="CommentReference">
    <w:name w:val="annotation reference"/>
    <w:basedOn w:val="DefaultParagraphFont"/>
    <w:uiPriority w:val="99"/>
    <w:semiHidden/>
    <w:unhideWhenUsed/>
    <w:rsid w:val="00B63979"/>
    <w:rPr>
      <w:sz w:val="16"/>
      <w:szCs w:val="16"/>
    </w:rPr>
  </w:style>
  <w:style w:type="paragraph" w:styleId="CommentText">
    <w:name w:val="annotation text"/>
    <w:basedOn w:val="Normal"/>
    <w:link w:val="CommentTextChar"/>
    <w:uiPriority w:val="99"/>
    <w:semiHidden/>
    <w:unhideWhenUsed/>
    <w:rsid w:val="00B63979"/>
    <w:pPr>
      <w:spacing w:line="240" w:lineRule="auto"/>
    </w:pPr>
    <w:rPr>
      <w:sz w:val="20"/>
      <w:szCs w:val="20"/>
    </w:rPr>
  </w:style>
  <w:style w:type="character" w:customStyle="1" w:styleId="CommentTextChar">
    <w:name w:val="Comment Text Char"/>
    <w:basedOn w:val="DefaultParagraphFont"/>
    <w:link w:val="CommentText"/>
    <w:uiPriority w:val="99"/>
    <w:semiHidden/>
    <w:rsid w:val="00B63979"/>
    <w:rPr>
      <w:sz w:val="20"/>
      <w:szCs w:val="20"/>
    </w:rPr>
  </w:style>
  <w:style w:type="paragraph" w:styleId="CommentSubject">
    <w:name w:val="annotation subject"/>
    <w:basedOn w:val="CommentText"/>
    <w:next w:val="CommentText"/>
    <w:link w:val="CommentSubjectChar"/>
    <w:uiPriority w:val="99"/>
    <w:semiHidden/>
    <w:unhideWhenUsed/>
    <w:rsid w:val="00B63979"/>
    <w:rPr>
      <w:b/>
      <w:bCs/>
    </w:rPr>
  </w:style>
  <w:style w:type="character" w:customStyle="1" w:styleId="CommentSubjectChar">
    <w:name w:val="Comment Subject Char"/>
    <w:basedOn w:val="CommentTextChar"/>
    <w:link w:val="CommentSubject"/>
    <w:uiPriority w:val="99"/>
    <w:semiHidden/>
    <w:rsid w:val="00B63979"/>
    <w:rPr>
      <w:b/>
      <w:bCs/>
      <w:sz w:val="20"/>
      <w:szCs w:val="20"/>
    </w:rPr>
  </w:style>
  <w:style w:type="paragraph" w:styleId="FootnoteText">
    <w:name w:val="footnote text"/>
    <w:basedOn w:val="Normal"/>
    <w:link w:val="FootnoteTextChar"/>
    <w:uiPriority w:val="99"/>
    <w:semiHidden/>
    <w:unhideWhenUsed/>
    <w:rsid w:val="00666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240"/>
    <w:rPr>
      <w:sz w:val="20"/>
      <w:szCs w:val="20"/>
    </w:rPr>
  </w:style>
  <w:style w:type="character" w:styleId="FootnoteReference">
    <w:name w:val="footnote reference"/>
    <w:basedOn w:val="DefaultParagraphFont"/>
    <w:uiPriority w:val="99"/>
    <w:semiHidden/>
    <w:unhideWhenUsed/>
    <w:rsid w:val="00666240"/>
    <w:rPr>
      <w:vertAlign w:val="superscript"/>
    </w:rPr>
  </w:style>
  <w:style w:type="paragraph" w:styleId="ListParagraph">
    <w:name w:val="List Paragraph"/>
    <w:basedOn w:val="Normal"/>
    <w:uiPriority w:val="34"/>
    <w:qFormat/>
    <w:rsid w:val="00CA1B2B"/>
    <w:pPr>
      <w:ind w:left="720"/>
      <w:contextualSpacing/>
    </w:pPr>
  </w:style>
  <w:style w:type="character" w:styleId="Hyperlink">
    <w:name w:val="Hyperlink"/>
    <w:basedOn w:val="DefaultParagraphFont"/>
    <w:uiPriority w:val="99"/>
    <w:unhideWhenUsed/>
    <w:rsid w:val="002C7008"/>
    <w:rPr>
      <w:color w:val="0563C1" w:themeColor="hyperlink"/>
      <w:u w:val="single"/>
    </w:rPr>
  </w:style>
  <w:style w:type="character" w:styleId="UnresolvedMention">
    <w:name w:val="Unresolved Mention"/>
    <w:basedOn w:val="DefaultParagraphFont"/>
    <w:uiPriority w:val="99"/>
    <w:unhideWhenUsed/>
    <w:rsid w:val="002C7008"/>
    <w:rPr>
      <w:color w:val="605E5C"/>
      <w:shd w:val="clear" w:color="auto" w:fill="E1DFDD"/>
    </w:rPr>
  </w:style>
  <w:style w:type="character" w:styleId="FollowedHyperlink">
    <w:name w:val="FollowedHyperlink"/>
    <w:basedOn w:val="DefaultParagraphFont"/>
    <w:uiPriority w:val="99"/>
    <w:semiHidden/>
    <w:unhideWhenUsed/>
    <w:rsid w:val="008F1D75"/>
    <w:rPr>
      <w:color w:val="954F72" w:themeColor="followedHyperlink"/>
      <w:u w:val="single"/>
    </w:rPr>
  </w:style>
  <w:style w:type="paragraph" w:styleId="Header">
    <w:name w:val="header"/>
    <w:basedOn w:val="Normal"/>
    <w:link w:val="HeaderChar"/>
    <w:uiPriority w:val="99"/>
    <w:semiHidden/>
    <w:unhideWhenUsed/>
    <w:rsid w:val="00333B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3B06"/>
  </w:style>
  <w:style w:type="paragraph" w:styleId="Footer">
    <w:name w:val="footer"/>
    <w:basedOn w:val="Normal"/>
    <w:link w:val="FooterChar"/>
    <w:uiPriority w:val="99"/>
    <w:semiHidden/>
    <w:unhideWhenUsed/>
    <w:rsid w:val="00333B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3B06"/>
  </w:style>
  <w:style w:type="character" w:styleId="Mention">
    <w:name w:val="Mention"/>
    <w:basedOn w:val="DefaultParagraphFont"/>
    <w:uiPriority w:val="99"/>
    <w:unhideWhenUsed/>
    <w:rsid w:val="007A44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7569">
      <w:bodyDiv w:val="1"/>
      <w:marLeft w:val="0"/>
      <w:marRight w:val="0"/>
      <w:marTop w:val="0"/>
      <w:marBottom w:val="0"/>
      <w:divBdr>
        <w:top w:val="none" w:sz="0" w:space="0" w:color="auto"/>
        <w:left w:val="none" w:sz="0" w:space="0" w:color="auto"/>
        <w:bottom w:val="none" w:sz="0" w:space="0" w:color="auto"/>
        <w:right w:val="none" w:sz="0" w:space="0" w:color="auto"/>
      </w:divBdr>
    </w:div>
    <w:div w:id="668102001">
      <w:bodyDiv w:val="1"/>
      <w:marLeft w:val="0"/>
      <w:marRight w:val="0"/>
      <w:marTop w:val="0"/>
      <w:marBottom w:val="0"/>
      <w:divBdr>
        <w:top w:val="none" w:sz="0" w:space="0" w:color="auto"/>
        <w:left w:val="none" w:sz="0" w:space="0" w:color="auto"/>
        <w:bottom w:val="none" w:sz="0" w:space="0" w:color="auto"/>
        <w:right w:val="none" w:sz="0" w:space="0" w:color="auto"/>
      </w:divBdr>
    </w:div>
    <w:div w:id="1870725353">
      <w:bodyDiv w:val="1"/>
      <w:marLeft w:val="0"/>
      <w:marRight w:val="0"/>
      <w:marTop w:val="0"/>
      <w:marBottom w:val="0"/>
      <w:divBdr>
        <w:top w:val="none" w:sz="0" w:space="0" w:color="auto"/>
        <w:left w:val="none" w:sz="0" w:space="0" w:color="auto"/>
        <w:bottom w:val="none" w:sz="0" w:space="0" w:color="auto"/>
        <w:right w:val="none" w:sz="0" w:space="0" w:color="auto"/>
      </w:divBdr>
    </w:div>
    <w:div w:id="2059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citadvscot.sharepoint.com/sites/SocialJusticeTeam/Shared%20Documents/Housing/Running%20covid-19%20housing%20sta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'Annual briefing workings'!$A$4</c:f>
              <c:strCache>
                <c:ptCount val="1"/>
                <c:pt idx="0">
                  <c:v>Housing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workings'!$B$4:$I$4</c:f>
              <c:numCache>
                <c:formatCode>0.0%</c:formatCode>
                <c:ptCount val="8"/>
                <c:pt idx="0">
                  <c:v>4.4094333442515558E-2</c:v>
                </c:pt>
                <c:pt idx="1">
                  <c:v>4.5125891605194174E-2</c:v>
                </c:pt>
                <c:pt idx="2">
                  <c:v>4.4625411437638512E-2</c:v>
                </c:pt>
                <c:pt idx="3">
                  <c:v>4.3429244278538413E-2</c:v>
                </c:pt>
                <c:pt idx="4">
                  <c:v>4.7568726666872362E-2</c:v>
                </c:pt>
                <c:pt idx="5">
                  <c:v>5.8281180900818803E-2</c:v>
                </c:pt>
                <c:pt idx="6">
                  <c:v>5.197657393850659E-2</c:v>
                </c:pt>
                <c:pt idx="7">
                  <c:v>5.117142365464513E-2</c:v>
                </c:pt>
              </c:numCache>
            </c:numRef>
          </c:val>
          <c:extLst>
            <c:ext xmlns:c16="http://schemas.microsoft.com/office/drawing/2014/chart" uri="{C3380CC4-5D6E-409C-BE32-E72D297353CC}">
              <c16:uniqueId val="{00000000-9729-4272-BB12-2EC382F43C64}"/>
            </c:ext>
          </c:extLst>
        </c:ser>
        <c:ser>
          <c:idx val="1"/>
          <c:order val="1"/>
          <c:tx>
            <c:strRef>
              <c:f>'Annual briefing workings'!$A$5</c:f>
              <c:strCache>
                <c:ptCount val="1"/>
                <c:pt idx="0">
                  <c:v>Employment</c:v>
                </c:pt>
              </c:strCache>
            </c:strRef>
          </c:tx>
          <c:spPr>
            <a:solidFill>
              <a:schemeClr val="accent2"/>
            </a:solidFill>
            <a:ln>
              <a:noFill/>
            </a:ln>
            <a:effectLst/>
          </c:spPr>
          <c:invertIfNegative val="0"/>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workings'!$B$5:$I$5</c:f>
              <c:numCache>
                <c:formatCode>0.0%</c:formatCode>
                <c:ptCount val="8"/>
                <c:pt idx="0">
                  <c:v>4.389125450376679E-2</c:v>
                </c:pt>
                <c:pt idx="1">
                  <c:v>4.3876120221910626E-2</c:v>
                </c:pt>
                <c:pt idx="2">
                  <c:v>4.3471419017270543E-2</c:v>
                </c:pt>
                <c:pt idx="3">
                  <c:v>5.0306271999599153E-2</c:v>
                </c:pt>
                <c:pt idx="4">
                  <c:v>0.10079139798216655</c:v>
                </c:pt>
                <c:pt idx="5">
                  <c:v>8.4158614867128556E-2</c:v>
                </c:pt>
                <c:pt idx="6">
                  <c:v>6.0960417148287996E-2</c:v>
                </c:pt>
                <c:pt idx="7">
                  <c:v>4.8497922658996481E-2</c:v>
                </c:pt>
              </c:numCache>
            </c:numRef>
          </c:val>
          <c:extLst>
            <c:ext xmlns:c16="http://schemas.microsoft.com/office/drawing/2014/chart" uri="{C3380CC4-5D6E-409C-BE32-E72D297353CC}">
              <c16:uniqueId val="{00000001-9729-4272-BB12-2EC382F43C64}"/>
            </c:ext>
          </c:extLst>
        </c:ser>
        <c:ser>
          <c:idx val="2"/>
          <c:order val="2"/>
          <c:tx>
            <c:strRef>
              <c:f>'Annual briefing workings'!$A$6</c:f>
              <c:strCache>
                <c:ptCount val="1"/>
                <c:pt idx="0">
                  <c:v>Finance and Charitable Support</c:v>
                </c:pt>
              </c:strCache>
            </c:strRef>
          </c:tx>
          <c:spPr>
            <a:solidFill>
              <a:schemeClr val="accent3"/>
            </a:solidFill>
            <a:ln>
              <a:noFill/>
            </a:ln>
            <a:effectLst/>
          </c:spPr>
          <c:invertIfNegative val="0"/>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workings'!$B$6:$I$6</c:f>
              <c:numCache>
                <c:formatCode>0.0%</c:formatCode>
                <c:ptCount val="8"/>
                <c:pt idx="0">
                  <c:v>5.7733377006223385E-2</c:v>
                </c:pt>
                <c:pt idx="1">
                  <c:v>5.3209778699018474E-2</c:v>
                </c:pt>
                <c:pt idx="2">
                  <c:v>5.6801342827543698E-2</c:v>
                </c:pt>
                <c:pt idx="3">
                  <c:v>5.6087234282421614E-2</c:v>
                </c:pt>
                <c:pt idx="4">
                  <c:v>5.9748233624386783E-2</c:v>
                </c:pt>
                <c:pt idx="5">
                  <c:v>4.9201967274627785E-2</c:v>
                </c:pt>
                <c:pt idx="6">
                  <c:v>5.6985435770979427E-2</c:v>
                </c:pt>
                <c:pt idx="7">
                  <c:v>5.7446468520294024E-2</c:v>
                </c:pt>
              </c:numCache>
            </c:numRef>
          </c:val>
          <c:extLst>
            <c:ext xmlns:c16="http://schemas.microsoft.com/office/drawing/2014/chart" uri="{C3380CC4-5D6E-409C-BE32-E72D297353CC}">
              <c16:uniqueId val="{00000002-9729-4272-BB12-2EC382F43C64}"/>
            </c:ext>
          </c:extLst>
        </c:ser>
        <c:ser>
          <c:idx val="3"/>
          <c:order val="3"/>
          <c:tx>
            <c:strRef>
              <c:f>'Annual briefing workings'!$A$7</c:f>
              <c:strCache>
                <c:ptCount val="1"/>
                <c:pt idx="0">
                  <c:v>Utilities and communications</c:v>
                </c:pt>
              </c:strCache>
            </c:strRef>
          </c:tx>
          <c:spPr>
            <a:solidFill>
              <a:schemeClr val="accent4"/>
            </a:solidFill>
            <a:ln>
              <a:noFill/>
            </a:ln>
            <a:effectLst/>
          </c:spPr>
          <c:invertIfNegative val="0"/>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workings'!$B$7:$I$7</c:f>
              <c:numCache>
                <c:formatCode>0.0%</c:formatCode>
                <c:ptCount val="8"/>
                <c:pt idx="0">
                  <c:v>2.5280052407468064E-2</c:v>
                </c:pt>
                <c:pt idx="1">
                  <c:v>2.7811985612387978E-2</c:v>
                </c:pt>
                <c:pt idx="2">
                  <c:v>3.9242299067626579E-2</c:v>
                </c:pt>
                <c:pt idx="3">
                  <c:v>3.9633726246696144E-2</c:v>
                </c:pt>
                <c:pt idx="4">
                  <c:v>2.7120422078923821E-2</c:v>
                </c:pt>
                <c:pt idx="5">
                  <c:v>3.378405542675654E-2</c:v>
                </c:pt>
                <c:pt idx="6">
                  <c:v>5.3825999845881177E-2</c:v>
                </c:pt>
                <c:pt idx="7">
                  <c:v>5.334095434766576E-2</c:v>
                </c:pt>
              </c:numCache>
            </c:numRef>
          </c:val>
          <c:extLst>
            <c:ext xmlns:c16="http://schemas.microsoft.com/office/drawing/2014/chart" uri="{C3380CC4-5D6E-409C-BE32-E72D297353CC}">
              <c16:uniqueId val="{00000003-9729-4272-BB12-2EC382F43C64}"/>
            </c:ext>
          </c:extLst>
        </c:ser>
        <c:ser>
          <c:idx val="4"/>
          <c:order val="4"/>
          <c:tx>
            <c:strRef>
              <c:f>'Annual briefing workings'!$A$8</c:f>
              <c:strCache>
                <c:ptCount val="1"/>
                <c:pt idx="0">
                  <c:v>Debt (incl. housing debt)</c:v>
                </c:pt>
              </c:strCache>
            </c:strRef>
          </c:tx>
          <c:spPr>
            <a:solidFill>
              <a:schemeClr val="accent5"/>
            </a:solidFill>
            <a:ln>
              <a:noFill/>
            </a:ln>
            <a:effectLst/>
          </c:spPr>
          <c:invertIfNegative val="0"/>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workings'!$B$8:$I$8</c:f>
              <c:numCache>
                <c:formatCode>0.0%</c:formatCode>
                <c:ptCount val="8"/>
                <c:pt idx="0">
                  <c:v>0.15101867016049786</c:v>
                </c:pt>
                <c:pt idx="1">
                  <c:v>0.13752972017313905</c:v>
                </c:pt>
                <c:pt idx="2">
                  <c:v>0.13770539098050016</c:v>
                </c:pt>
                <c:pt idx="3">
                  <c:v>0.13839235384750284</c:v>
                </c:pt>
                <c:pt idx="4">
                  <c:v>9.8477368794545064E-2</c:v>
                </c:pt>
                <c:pt idx="5">
                  <c:v>0.10970772302702993</c:v>
                </c:pt>
                <c:pt idx="6">
                  <c:v>0.13196424443245741</c:v>
                </c:pt>
                <c:pt idx="7">
                  <c:v>0.13861641713990708</c:v>
                </c:pt>
              </c:numCache>
            </c:numRef>
          </c:val>
          <c:extLst>
            <c:ext xmlns:c16="http://schemas.microsoft.com/office/drawing/2014/chart" uri="{C3380CC4-5D6E-409C-BE32-E72D297353CC}">
              <c16:uniqueId val="{00000004-9729-4272-BB12-2EC382F43C64}"/>
            </c:ext>
          </c:extLst>
        </c:ser>
        <c:ser>
          <c:idx val="5"/>
          <c:order val="5"/>
          <c:tx>
            <c:strRef>
              <c:f>'Annual briefing workings'!$A$9</c:f>
              <c:strCache>
                <c:ptCount val="1"/>
                <c:pt idx="0">
                  <c:v>Benefits</c:v>
                </c:pt>
              </c:strCache>
            </c:strRef>
          </c:tx>
          <c:spPr>
            <a:solidFill>
              <a:schemeClr val="accent6"/>
            </a:solidFill>
            <a:ln>
              <a:noFill/>
            </a:ln>
            <a:effectLst/>
          </c:spPr>
          <c:invertIfNegative val="0"/>
          <c:cat>
            <c:multiLvlStrRef>
              <c:f>'Annual briefing workings'!$B$2:$I$3</c:f>
              <c:multiLvlStrCache>
                <c:ptCount val="8"/>
                <c:lvl>
                  <c:pt idx="0">
                    <c:v>Q1</c:v>
                  </c:pt>
                  <c:pt idx="1">
                    <c:v>Q2</c:v>
                  </c:pt>
                  <c:pt idx="2">
                    <c:v>Q3</c:v>
                  </c:pt>
                  <c:pt idx="3">
                    <c:v>Q4</c:v>
                  </c:pt>
                  <c:pt idx="4">
                    <c:v>Q1 </c:v>
                  </c:pt>
                  <c:pt idx="5">
                    <c:v>Q2 </c:v>
                  </c:pt>
                  <c:pt idx="6">
                    <c:v>Q3 </c:v>
                  </c:pt>
                  <c:pt idx="7">
                    <c:v>Q4</c:v>
                  </c:pt>
                </c:lvl>
                <c:lvl>
                  <c:pt idx="0">
                    <c:v>2019/20</c:v>
                  </c:pt>
                  <c:pt idx="4">
                    <c:v>2020/21</c:v>
                  </c:pt>
                </c:lvl>
              </c:multiLvlStrCache>
            </c:multiLvlStrRef>
          </c:cat>
          <c:val>
            <c:numRef>
              <c:f>'Annual briefing workings'!$B$9:$I$9</c:f>
              <c:numCache>
                <c:formatCode>0.0%</c:formatCode>
                <c:ptCount val="8"/>
                <c:pt idx="0">
                  <c:v>0.48191942351785128</c:v>
                </c:pt>
                <c:pt idx="1">
                  <c:v>0.48725842833627997</c:v>
                </c:pt>
                <c:pt idx="2">
                  <c:v>0.47776597558256945</c:v>
                </c:pt>
                <c:pt idx="3">
                  <c:v>0.47048765517154989</c:v>
                </c:pt>
                <c:pt idx="4">
                  <c:v>0.46982505939341579</c:v>
                </c:pt>
                <c:pt idx="5">
                  <c:v>0.44816472574744376</c:v>
                </c:pt>
                <c:pt idx="6">
                  <c:v>0.44495389278467029</c:v>
                </c:pt>
                <c:pt idx="7">
                  <c:v>0.45035892519113996</c:v>
                </c:pt>
              </c:numCache>
            </c:numRef>
          </c:val>
          <c:extLst>
            <c:ext xmlns:c16="http://schemas.microsoft.com/office/drawing/2014/chart" uri="{C3380CC4-5D6E-409C-BE32-E72D297353CC}">
              <c16:uniqueId val="{00000005-9729-4272-BB12-2EC382F43C64}"/>
            </c:ext>
          </c:extLst>
        </c:ser>
        <c:dLbls>
          <c:showLegendKey val="0"/>
          <c:showVal val="0"/>
          <c:showCatName val="0"/>
          <c:showSerName val="0"/>
          <c:showPercent val="0"/>
          <c:showBubbleSize val="0"/>
        </c:dLbls>
        <c:gapWidth val="35"/>
        <c:overlap val="100"/>
        <c:axId val="634726464"/>
        <c:axId val="634726136"/>
      </c:barChart>
      <c:catAx>
        <c:axId val="634726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26136"/>
        <c:crosses val="autoZero"/>
        <c:auto val="1"/>
        <c:lblAlgn val="ctr"/>
        <c:lblOffset val="100"/>
        <c:noMultiLvlLbl val="0"/>
      </c:catAx>
      <c:valAx>
        <c:axId val="634726136"/>
        <c:scaling>
          <c:orientation val="minMax"/>
          <c:max val="0.82000000000000006"/>
          <c:min val="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72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briefing workings'!$A$26</c:f>
              <c:strCache>
                <c:ptCount val="1"/>
                <c:pt idx="0">
                  <c:v>Private rented sector property </c:v>
                </c:pt>
              </c:strCache>
            </c:strRef>
          </c:tx>
          <c:spPr>
            <a:solidFill>
              <a:schemeClr val="accent1"/>
            </a:solidFill>
            <a:ln>
              <a:noFill/>
            </a:ln>
            <a:effectLst/>
          </c:spPr>
          <c:invertIfNegative val="0"/>
          <c:cat>
            <c:multiLvlStrRef>
              <c:f>'Annual briefing workings'!$B$24:$I$25</c:f>
              <c:multiLvlStrCache>
                <c:ptCount val="8"/>
                <c:lvl>
                  <c:pt idx="0">
                    <c:v>Q1</c:v>
                  </c:pt>
                  <c:pt idx="1">
                    <c:v>Q2 </c:v>
                  </c:pt>
                  <c:pt idx="2">
                    <c:v>Q3</c:v>
                  </c:pt>
                  <c:pt idx="3">
                    <c:v>Q4</c:v>
                  </c:pt>
                  <c:pt idx="4">
                    <c:v>Q1 </c:v>
                  </c:pt>
                  <c:pt idx="5">
                    <c:v>Q2</c:v>
                  </c:pt>
                  <c:pt idx="6">
                    <c:v>Q3</c:v>
                  </c:pt>
                  <c:pt idx="7">
                    <c:v>Q4</c:v>
                  </c:pt>
                </c:lvl>
                <c:lvl>
                  <c:pt idx="0">
                    <c:v>2019/20</c:v>
                  </c:pt>
                  <c:pt idx="4">
                    <c:v>2020/21</c:v>
                  </c:pt>
                </c:lvl>
              </c:multiLvlStrCache>
            </c:multiLvlStrRef>
          </c:cat>
          <c:val>
            <c:numRef>
              <c:f>'Annual briefing workings'!$B$26:$I$26</c:f>
              <c:numCache>
                <c:formatCode>0.0%</c:formatCode>
                <c:ptCount val="8"/>
                <c:pt idx="0">
                  <c:v>0.18630218392512257</c:v>
                </c:pt>
                <c:pt idx="1">
                  <c:v>0.1636044312348014</c:v>
                </c:pt>
                <c:pt idx="2">
                  <c:v>0.1746987951807229</c:v>
                </c:pt>
                <c:pt idx="3">
                  <c:v>0.17868474185174502</c:v>
                </c:pt>
                <c:pt idx="4">
                  <c:v>0.26495865088373599</c:v>
                </c:pt>
                <c:pt idx="5">
                  <c:v>0.22005058634168775</c:v>
                </c:pt>
                <c:pt idx="6">
                  <c:v>0.20867309117865085</c:v>
                </c:pt>
                <c:pt idx="7">
                  <c:v>0.20946432860917608</c:v>
                </c:pt>
              </c:numCache>
            </c:numRef>
          </c:val>
          <c:extLst>
            <c:ext xmlns:c16="http://schemas.microsoft.com/office/drawing/2014/chart" uri="{C3380CC4-5D6E-409C-BE32-E72D297353CC}">
              <c16:uniqueId val="{00000000-38D1-491F-8F7F-3B9AC4857F1D}"/>
            </c:ext>
          </c:extLst>
        </c:ser>
        <c:ser>
          <c:idx val="1"/>
          <c:order val="1"/>
          <c:tx>
            <c:strRef>
              <c:f>'Annual briefing workings'!$A$27</c:f>
              <c:strCache>
                <c:ptCount val="1"/>
                <c:pt idx="0">
                  <c:v>Environmental and neighbour issues </c:v>
                </c:pt>
              </c:strCache>
            </c:strRef>
          </c:tx>
          <c:spPr>
            <a:solidFill>
              <a:schemeClr val="accent2"/>
            </a:solidFill>
            <a:ln>
              <a:noFill/>
            </a:ln>
            <a:effectLst/>
          </c:spPr>
          <c:invertIfNegative val="0"/>
          <c:cat>
            <c:multiLvlStrRef>
              <c:f>'Annual briefing workings'!$B$24:$I$25</c:f>
              <c:multiLvlStrCache>
                <c:ptCount val="8"/>
                <c:lvl>
                  <c:pt idx="0">
                    <c:v>Q1</c:v>
                  </c:pt>
                  <c:pt idx="1">
                    <c:v>Q2 </c:v>
                  </c:pt>
                  <c:pt idx="2">
                    <c:v>Q3</c:v>
                  </c:pt>
                  <c:pt idx="3">
                    <c:v>Q4</c:v>
                  </c:pt>
                  <c:pt idx="4">
                    <c:v>Q1 </c:v>
                  </c:pt>
                  <c:pt idx="5">
                    <c:v>Q2</c:v>
                  </c:pt>
                  <c:pt idx="6">
                    <c:v>Q3</c:v>
                  </c:pt>
                  <c:pt idx="7">
                    <c:v>Q4</c:v>
                  </c:pt>
                </c:lvl>
                <c:lvl>
                  <c:pt idx="0">
                    <c:v>2019/20</c:v>
                  </c:pt>
                  <c:pt idx="4">
                    <c:v>2020/21</c:v>
                  </c:pt>
                </c:lvl>
              </c:multiLvlStrCache>
            </c:multiLvlStrRef>
          </c:cat>
          <c:val>
            <c:numRef>
              <c:f>'Annual briefing workings'!$B$27:$I$27</c:f>
              <c:numCache>
                <c:formatCode>0.0%</c:formatCode>
                <c:ptCount val="8"/>
                <c:pt idx="0">
                  <c:v>7.3688902094785319E-2</c:v>
                </c:pt>
                <c:pt idx="1">
                  <c:v>8.2545258038368013E-2</c:v>
                </c:pt>
                <c:pt idx="2">
                  <c:v>6.3032618277990005E-2</c:v>
                </c:pt>
                <c:pt idx="3">
                  <c:v>6.0859532737236807E-2</c:v>
                </c:pt>
                <c:pt idx="4">
                  <c:v>0.12810118371979892</c:v>
                </c:pt>
                <c:pt idx="5">
                  <c:v>0.1191078408829616</c:v>
                </c:pt>
                <c:pt idx="6">
                  <c:v>8.7966394860390415E-2</c:v>
                </c:pt>
                <c:pt idx="7">
                  <c:v>9.1880855152534233E-2</c:v>
                </c:pt>
              </c:numCache>
            </c:numRef>
          </c:val>
          <c:extLst>
            <c:ext xmlns:c16="http://schemas.microsoft.com/office/drawing/2014/chart" uri="{C3380CC4-5D6E-409C-BE32-E72D297353CC}">
              <c16:uniqueId val="{00000001-38D1-491F-8F7F-3B9AC4857F1D}"/>
            </c:ext>
          </c:extLst>
        </c:ser>
        <c:ser>
          <c:idx val="2"/>
          <c:order val="2"/>
          <c:tx>
            <c:strRef>
              <c:f>'Annual briefing workings'!$A$28</c:f>
              <c:strCache>
                <c:ptCount val="1"/>
                <c:pt idx="0">
                  <c:v>Local Authority housing </c:v>
                </c:pt>
              </c:strCache>
            </c:strRef>
          </c:tx>
          <c:spPr>
            <a:solidFill>
              <a:schemeClr val="accent3"/>
            </a:solidFill>
            <a:ln>
              <a:noFill/>
            </a:ln>
            <a:effectLst/>
          </c:spPr>
          <c:invertIfNegative val="0"/>
          <c:cat>
            <c:multiLvlStrRef>
              <c:f>'Annual briefing workings'!$B$24:$I$25</c:f>
              <c:multiLvlStrCache>
                <c:ptCount val="8"/>
                <c:lvl>
                  <c:pt idx="0">
                    <c:v>Q1</c:v>
                  </c:pt>
                  <c:pt idx="1">
                    <c:v>Q2 </c:v>
                  </c:pt>
                  <c:pt idx="2">
                    <c:v>Q3</c:v>
                  </c:pt>
                  <c:pt idx="3">
                    <c:v>Q4</c:v>
                  </c:pt>
                  <c:pt idx="4">
                    <c:v>Q1 </c:v>
                  </c:pt>
                  <c:pt idx="5">
                    <c:v>Q2</c:v>
                  </c:pt>
                  <c:pt idx="6">
                    <c:v>Q3</c:v>
                  </c:pt>
                  <c:pt idx="7">
                    <c:v>Q4</c:v>
                  </c:pt>
                </c:lvl>
                <c:lvl>
                  <c:pt idx="0">
                    <c:v>2019/20</c:v>
                  </c:pt>
                  <c:pt idx="4">
                    <c:v>2020/21</c:v>
                  </c:pt>
                </c:lvl>
              </c:multiLvlStrCache>
            </c:multiLvlStrRef>
          </c:cat>
          <c:val>
            <c:numRef>
              <c:f>'Annual briefing workings'!$B$28:$I$28</c:f>
              <c:numCache>
                <c:formatCode>0.0%</c:formatCode>
                <c:ptCount val="8"/>
                <c:pt idx="0">
                  <c:v>0.15376615658891696</c:v>
                </c:pt>
                <c:pt idx="1">
                  <c:v>0.16306403674682518</c:v>
                </c:pt>
                <c:pt idx="2">
                  <c:v>0.18057596238612988</c:v>
                </c:pt>
                <c:pt idx="3">
                  <c:v>0.16815690798961638</c:v>
                </c:pt>
                <c:pt idx="4">
                  <c:v>0.12015566726122913</c:v>
                </c:pt>
                <c:pt idx="5">
                  <c:v>0.1306047367210853</c:v>
                </c:pt>
                <c:pt idx="6">
                  <c:v>0.15492957746478872</c:v>
                </c:pt>
                <c:pt idx="7">
                  <c:v>0.15325486428056689</c:v>
                </c:pt>
              </c:numCache>
            </c:numRef>
          </c:val>
          <c:extLst>
            <c:ext xmlns:c16="http://schemas.microsoft.com/office/drawing/2014/chart" uri="{C3380CC4-5D6E-409C-BE32-E72D297353CC}">
              <c16:uniqueId val="{00000002-38D1-491F-8F7F-3B9AC4857F1D}"/>
            </c:ext>
          </c:extLst>
        </c:ser>
        <c:ser>
          <c:idx val="3"/>
          <c:order val="3"/>
          <c:tx>
            <c:strRef>
              <c:f>'Annual briefing workings'!$A$29</c:f>
              <c:strCache>
                <c:ptCount val="1"/>
                <c:pt idx="0">
                  <c:v>Homelessness threatened </c:v>
                </c:pt>
              </c:strCache>
            </c:strRef>
          </c:tx>
          <c:spPr>
            <a:solidFill>
              <a:schemeClr val="accent4"/>
            </a:solidFill>
            <a:ln>
              <a:noFill/>
            </a:ln>
            <a:effectLst/>
          </c:spPr>
          <c:invertIfNegative val="0"/>
          <c:cat>
            <c:multiLvlStrRef>
              <c:f>'Annual briefing workings'!$B$24:$I$25</c:f>
              <c:multiLvlStrCache>
                <c:ptCount val="8"/>
                <c:lvl>
                  <c:pt idx="0">
                    <c:v>Q1</c:v>
                  </c:pt>
                  <c:pt idx="1">
                    <c:v>Q2 </c:v>
                  </c:pt>
                  <c:pt idx="2">
                    <c:v>Q3</c:v>
                  </c:pt>
                  <c:pt idx="3">
                    <c:v>Q4</c:v>
                  </c:pt>
                  <c:pt idx="4">
                    <c:v>Q1 </c:v>
                  </c:pt>
                  <c:pt idx="5">
                    <c:v>Q2</c:v>
                  </c:pt>
                  <c:pt idx="6">
                    <c:v>Q3</c:v>
                  </c:pt>
                  <c:pt idx="7">
                    <c:v>Q4</c:v>
                  </c:pt>
                </c:lvl>
                <c:lvl>
                  <c:pt idx="0">
                    <c:v>2019/20</c:v>
                  </c:pt>
                  <c:pt idx="4">
                    <c:v>2020/21</c:v>
                  </c:pt>
                </c:lvl>
              </c:multiLvlStrCache>
            </c:multiLvlStrRef>
          </c:cat>
          <c:val>
            <c:numRef>
              <c:f>'Annual briefing workings'!$B$29:$I$29</c:f>
              <c:numCache>
                <c:formatCode>0.0%</c:formatCode>
                <c:ptCount val="8"/>
                <c:pt idx="0">
                  <c:v>0.13920665577180211</c:v>
                </c:pt>
                <c:pt idx="1">
                  <c:v>0.13199135368819237</c:v>
                </c:pt>
                <c:pt idx="2">
                  <c:v>0.14443138407287687</c:v>
                </c:pt>
                <c:pt idx="3">
                  <c:v>0.14205364868762618</c:v>
                </c:pt>
                <c:pt idx="4">
                  <c:v>6.5509972433922495E-2</c:v>
                </c:pt>
                <c:pt idx="5">
                  <c:v>6.3577833984824098E-2</c:v>
                </c:pt>
                <c:pt idx="6">
                  <c:v>6.2268346923647147E-2</c:v>
                </c:pt>
                <c:pt idx="7">
                  <c:v>6.0052846504924332E-2</c:v>
                </c:pt>
              </c:numCache>
            </c:numRef>
          </c:val>
          <c:extLst>
            <c:ext xmlns:c16="http://schemas.microsoft.com/office/drawing/2014/chart" uri="{C3380CC4-5D6E-409C-BE32-E72D297353CC}">
              <c16:uniqueId val="{00000003-38D1-491F-8F7F-3B9AC4857F1D}"/>
            </c:ext>
          </c:extLst>
        </c:ser>
        <c:ser>
          <c:idx val="4"/>
          <c:order val="4"/>
          <c:tx>
            <c:strRef>
              <c:f>'Annual briefing workings'!$A$30</c:f>
              <c:strCache>
                <c:ptCount val="1"/>
                <c:pt idx="0">
                  <c:v>Registered social landlord property </c:v>
                </c:pt>
              </c:strCache>
            </c:strRef>
          </c:tx>
          <c:spPr>
            <a:solidFill>
              <a:schemeClr val="accent5"/>
            </a:solidFill>
            <a:ln>
              <a:noFill/>
            </a:ln>
            <a:effectLst/>
          </c:spPr>
          <c:invertIfNegative val="0"/>
          <c:cat>
            <c:multiLvlStrRef>
              <c:f>'Annual briefing workings'!$B$24:$I$25</c:f>
              <c:multiLvlStrCache>
                <c:ptCount val="8"/>
                <c:lvl>
                  <c:pt idx="0">
                    <c:v>Q1</c:v>
                  </c:pt>
                  <c:pt idx="1">
                    <c:v>Q2 </c:v>
                  </c:pt>
                  <c:pt idx="2">
                    <c:v>Q3</c:v>
                  </c:pt>
                  <c:pt idx="3">
                    <c:v>Q4</c:v>
                  </c:pt>
                  <c:pt idx="4">
                    <c:v>Q1 </c:v>
                  </c:pt>
                  <c:pt idx="5">
                    <c:v>Q2</c:v>
                  </c:pt>
                  <c:pt idx="6">
                    <c:v>Q3</c:v>
                  </c:pt>
                  <c:pt idx="7">
                    <c:v>Q4</c:v>
                  </c:pt>
                </c:lvl>
                <c:lvl>
                  <c:pt idx="0">
                    <c:v>2019/20</c:v>
                  </c:pt>
                  <c:pt idx="4">
                    <c:v>2020/21</c:v>
                  </c:pt>
                </c:lvl>
              </c:multiLvlStrCache>
            </c:multiLvlStrRef>
          </c:cat>
          <c:val>
            <c:numRef>
              <c:f>'Annual briefing workings'!$B$30:$I$30</c:f>
              <c:numCache>
                <c:formatCode>0.0%</c:formatCode>
                <c:ptCount val="8"/>
                <c:pt idx="0">
                  <c:v>7.1460407071757534E-2</c:v>
                </c:pt>
                <c:pt idx="1">
                  <c:v>7.7681707646581999E-2</c:v>
                </c:pt>
                <c:pt idx="2">
                  <c:v>8.3896561857184832E-2</c:v>
                </c:pt>
                <c:pt idx="3">
                  <c:v>7.9751946928179981E-2</c:v>
                </c:pt>
                <c:pt idx="4">
                  <c:v>6.7455813199286521E-2</c:v>
                </c:pt>
                <c:pt idx="5">
                  <c:v>7.7948953782478736E-2</c:v>
                </c:pt>
                <c:pt idx="6">
                  <c:v>8.1047689646651835E-2</c:v>
                </c:pt>
                <c:pt idx="7">
                  <c:v>0.10725438385779486</c:v>
                </c:pt>
              </c:numCache>
            </c:numRef>
          </c:val>
          <c:extLst>
            <c:ext xmlns:c16="http://schemas.microsoft.com/office/drawing/2014/chart" uri="{C3380CC4-5D6E-409C-BE32-E72D297353CC}">
              <c16:uniqueId val="{00000004-38D1-491F-8F7F-3B9AC4857F1D}"/>
            </c:ext>
          </c:extLst>
        </c:ser>
        <c:dLbls>
          <c:showLegendKey val="0"/>
          <c:showVal val="0"/>
          <c:showCatName val="0"/>
          <c:showSerName val="0"/>
          <c:showPercent val="0"/>
          <c:showBubbleSize val="0"/>
        </c:dLbls>
        <c:gapWidth val="35"/>
        <c:overlap val="-5"/>
        <c:axId val="424213064"/>
        <c:axId val="424212080"/>
      </c:barChart>
      <c:catAx>
        <c:axId val="42421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2080"/>
        <c:crosses val="autoZero"/>
        <c:auto val="1"/>
        <c:lblAlgn val="ctr"/>
        <c:lblOffset val="100"/>
        <c:noMultiLvlLbl val="0"/>
      </c:catAx>
      <c:valAx>
        <c:axId val="424212080"/>
        <c:scaling>
          <c:orientation val="minMax"/>
          <c:max val="0.27"/>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3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73600126264836E-2"/>
          <c:y val="0.22818642461358996"/>
          <c:w val="0.85840573102081619"/>
          <c:h val="0.53512212015164784"/>
        </c:manualLayout>
      </c:layout>
      <c:barChart>
        <c:barDir val="bar"/>
        <c:grouping val="stacked"/>
        <c:varyColors val="0"/>
        <c:ser>
          <c:idx val="0"/>
          <c:order val="0"/>
          <c:tx>
            <c:strRef>
              <c:f>'Annual briefing workings'!$A$44</c:f>
              <c:strCache>
                <c:ptCount val="1"/>
                <c:pt idx="0">
                  <c:v>Rents</c:v>
                </c:pt>
              </c:strCache>
            </c:strRef>
          </c:tx>
          <c:spPr>
            <a:solidFill>
              <a:schemeClr val="accent1"/>
            </a:solidFill>
            <a:ln>
              <a:noFill/>
            </a:ln>
            <a:effectLst/>
          </c:spPr>
          <c:invertIfNegative val="0"/>
          <c:cat>
            <c:multiLvlStrRef>
              <c:f>'Annual briefing workings'!$B$42:$I$43</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workings'!$B$44:$I$44</c:f>
              <c:numCache>
                <c:formatCode>0%</c:formatCode>
                <c:ptCount val="8"/>
                <c:pt idx="0">
                  <c:v>9.6289752650176683E-2</c:v>
                </c:pt>
                <c:pt idx="1">
                  <c:v>9.8618389709385426E-2</c:v>
                </c:pt>
                <c:pt idx="2">
                  <c:v>0.10128322639780019</c:v>
                </c:pt>
                <c:pt idx="3">
                  <c:v>0.12</c:v>
                </c:pt>
                <c:pt idx="4">
                  <c:v>0.14450474898236093</c:v>
                </c:pt>
                <c:pt idx="5">
                  <c:v>9.6710711273545122E-2</c:v>
                </c:pt>
                <c:pt idx="6">
                  <c:v>0.10564720812182742</c:v>
                </c:pt>
                <c:pt idx="7">
                  <c:v>0.09</c:v>
                </c:pt>
              </c:numCache>
            </c:numRef>
          </c:val>
          <c:extLst>
            <c:ext xmlns:c16="http://schemas.microsoft.com/office/drawing/2014/chart" uri="{C3380CC4-5D6E-409C-BE32-E72D297353CC}">
              <c16:uniqueId val="{00000000-07ED-40DA-A743-7135BD308351}"/>
            </c:ext>
          </c:extLst>
        </c:ser>
        <c:ser>
          <c:idx val="1"/>
          <c:order val="1"/>
          <c:tx>
            <c:strRef>
              <c:f>'Annual briefing workings'!$A$45</c:f>
              <c:strCache>
                <c:ptCount val="1"/>
                <c:pt idx="0">
                  <c:v>Repairs / maintenance</c:v>
                </c:pt>
              </c:strCache>
            </c:strRef>
          </c:tx>
          <c:spPr>
            <a:solidFill>
              <a:schemeClr val="accent2"/>
            </a:solidFill>
            <a:ln>
              <a:noFill/>
            </a:ln>
            <a:effectLst/>
          </c:spPr>
          <c:invertIfNegative val="0"/>
          <c:cat>
            <c:multiLvlStrRef>
              <c:f>'Annual briefing workings'!$B$42:$I$43</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workings'!$B$45:$I$45</c:f>
              <c:numCache>
                <c:formatCode>0%</c:formatCode>
                <c:ptCount val="8"/>
                <c:pt idx="0">
                  <c:v>0.12632508833922262</c:v>
                </c:pt>
                <c:pt idx="1">
                  <c:v>0.11576941400666985</c:v>
                </c:pt>
                <c:pt idx="2">
                  <c:v>0.16498625114573787</c:v>
                </c:pt>
                <c:pt idx="3">
                  <c:v>0.14000000000000001</c:v>
                </c:pt>
                <c:pt idx="4">
                  <c:v>9.6336499321573954E-2</c:v>
                </c:pt>
                <c:pt idx="5">
                  <c:v>0.14422265954456001</c:v>
                </c:pt>
                <c:pt idx="6">
                  <c:v>0.16053299492385786</c:v>
                </c:pt>
                <c:pt idx="7">
                  <c:v>0.18</c:v>
                </c:pt>
              </c:numCache>
            </c:numRef>
          </c:val>
          <c:extLst>
            <c:ext xmlns:c16="http://schemas.microsoft.com/office/drawing/2014/chart" uri="{C3380CC4-5D6E-409C-BE32-E72D297353CC}">
              <c16:uniqueId val="{00000001-07ED-40DA-A743-7135BD308351}"/>
            </c:ext>
          </c:extLst>
        </c:ser>
        <c:ser>
          <c:idx val="2"/>
          <c:order val="2"/>
          <c:tx>
            <c:strRef>
              <c:f>'Annual briefing workings'!$A$46</c:f>
              <c:strCache>
                <c:ptCount val="1"/>
                <c:pt idx="0">
                  <c:v>Deposits</c:v>
                </c:pt>
              </c:strCache>
            </c:strRef>
          </c:tx>
          <c:spPr>
            <a:solidFill>
              <a:schemeClr val="accent3"/>
            </a:solidFill>
            <a:ln>
              <a:noFill/>
            </a:ln>
            <a:effectLst/>
          </c:spPr>
          <c:invertIfNegative val="0"/>
          <c:cat>
            <c:multiLvlStrRef>
              <c:f>'Annual briefing workings'!$B$42:$I$43</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workings'!$B$46:$I$46</c:f>
              <c:numCache>
                <c:formatCode>0%</c:formatCode>
                <c:ptCount val="8"/>
                <c:pt idx="0">
                  <c:v>0.15</c:v>
                </c:pt>
                <c:pt idx="1">
                  <c:v>0.15</c:v>
                </c:pt>
                <c:pt idx="2">
                  <c:v>0.12465627864344637</c:v>
                </c:pt>
                <c:pt idx="3">
                  <c:v>0.12</c:v>
                </c:pt>
                <c:pt idx="4">
                  <c:v>0.10956580732700136</c:v>
                </c:pt>
                <c:pt idx="5">
                  <c:v>0.12201293224627495</c:v>
                </c:pt>
                <c:pt idx="6">
                  <c:v>9.9619289340101516E-2</c:v>
                </c:pt>
                <c:pt idx="7">
                  <c:v>0.1</c:v>
                </c:pt>
              </c:numCache>
            </c:numRef>
          </c:val>
          <c:extLst>
            <c:ext xmlns:c16="http://schemas.microsoft.com/office/drawing/2014/chart" uri="{C3380CC4-5D6E-409C-BE32-E72D297353CC}">
              <c16:uniqueId val="{00000002-07ED-40DA-A743-7135BD308351}"/>
            </c:ext>
          </c:extLst>
        </c:ser>
        <c:ser>
          <c:idx val="3"/>
          <c:order val="3"/>
          <c:tx>
            <c:strRef>
              <c:f>'Annual briefing workings'!$A$47</c:f>
              <c:strCache>
                <c:ptCount val="1"/>
                <c:pt idx="0">
                  <c:v>Possession action (not for arrears)</c:v>
                </c:pt>
              </c:strCache>
            </c:strRef>
          </c:tx>
          <c:spPr>
            <a:solidFill>
              <a:schemeClr val="accent4"/>
            </a:solidFill>
            <a:ln>
              <a:noFill/>
            </a:ln>
            <a:effectLst/>
          </c:spPr>
          <c:invertIfNegative val="0"/>
          <c:cat>
            <c:multiLvlStrRef>
              <c:f>'Annual briefing workings'!$B$42:$I$43</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workings'!$B$47:$I$47</c:f>
              <c:numCache>
                <c:formatCode>0%</c:formatCode>
                <c:ptCount val="8"/>
                <c:pt idx="0">
                  <c:v>7.3763250883392223E-2</c:v>
                </c:pt>
                <c:pt idx="1">
                  <c:v>6.8604097189137681E-2</c:v>
                </c:pt>
                <c:pt idx="2">
                  <c:v>6.8744271310724109E-2</c:v>
                </c:pt>
                <c:pt idx="3">
                  <c:v>0.06</c:v>
                </c:pt>
                <c:pt idx="4">
                  <c:v>5.4274084124830396E-2</c:v>
                </c:pt>
                <c:pt idx="5">
                  <c:v>6.2412145066066911E-2</c:v>
                </c:pt>
                <c:pt idx="6">
                  <c:v>7.0431472081218277E-2</c:v>
                </c:pt>
                <c:pt idx="7">
                  <c:v>0.06</c:v>
                </c:pt>
              </c:numCache>
            </c:numRef>
          </c:val>
          <c:extLst>
            <c:ext xmlns:c16="http://schemas.microsoft.com/office/drawing/2014/chart" uri="{C3380CC4-5D6E-409C-BE32-E72D297353CC}">
              <c16:uniqueId val="{00000003-07ED-40DA-A743-7135BD308351}"/>
            </c:ext>
          </c:extLst>
        </c:ser>
        <c:ser>
          <c:idx val="4"/>
          <c:order val="4"/>
          <c:tx>
            <c:strRef>
              <c:f>'Annual briefing workings'!$A$48</c:f>
              <c:strCache>
                <c:ptCount val="1"/>
                <c:pt idx="0">
                  <c:v>Tenancy termination (by client)</c:v>
                </c:pt>
              </c:strCache>
            </c:strRef>
          </c:tx>
          <c:spPr>
            <a:solidFill>
              <a:schemeClr val="accent5"/>
            </a:solidFill>
            <a:ln>
              <a:noFill/>
            </a:ln>
            <a:effectLst/>
          </c:spPr>
          <c:invertIfNegative val="0"/>
          <c:cat>
            <c:multiLvlStrRef>
              <c:f>'Annual briefing workings'!$B$42:$I$43</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workings'!$B$48:$I$48</c:f>
              <c:numCache>
                <c:formatCode>0%</c:formatCode>
                <c:ptCount val="8"/>
                <c:pt idx="0">
                  <c:v>8.524734982332155E-2</c:v>
                </c:pt>
                <c:pt idx="1">
                  <c:v>7.0509766555502618E-2</c:v>
                </c:pt>
                <c:pt idx="2">
                  <c:v>6.7369385884509622E-2</c:v>
                </c:pt>
                <c:pt idx="3">
                  <c:v>0.08</c:v>
                </c:pt>
                <c:pt idx="4">
                  <c:v>9.2944369063772042E-2</c:v>
                </c:pt>
                <c:pt idx="5">
                  <c:v>6.6348046106269334E-2</c:v>
                </c:pt>
                <c:pt idx="6">
                  <c:v>5.3934010152284266E-2</c:v>
                </c:pt>
                <c:pt idx="7">
                  <c:v>0.06</c:v>
                </c:pt>
              </c:numCache>
            </c:numRef>
          </c:val>
          <c:extLst>
            <c:ext xmlns:c16="http://schemas.microsoft.com/office/drawing/2014/chart" uri="{C3380CC4-5D6E-409C-BE32-E72D297353CC}">
              <c16:uniqueId val="{00000004-07ED-40DA-A743-7135BD308351}"/>
            </c:ext>
          </c:extLst>
        </c:ser>
        <c:dLbls>
          <c:showLegendKey val="0"/>
          <c:showVal val="0"/>
          <c:showCatName val="0"/>
          <c:showSerName val="0"/>
          <c:showPercent val="0"/>
          <c:showBubbleSize val="0"/>
        </c:dLbls>
        <c:gapWidth val="35"/>
        <c:overlap val="100"/>
        <c:axId val="728931448"/>
        <c:axId val="728932760"/>
      </c:barChart>
      <c:catAx>
        <c:axId val="728931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932760"/>
        <c:crosses val="autoZero"/>
        <c:auto val="1"/>
        <c:lblAlgn val="ctr"/>
        <c:lblOffset val="100"/>
        <c:noMultiLvlLbl val="0"/>
      </c:catAx>
      <c:valAx>
        <c:axId val="728932760"/>
        <c:scaling>
          <c:orientation val="minMax"/>
          <c:max val="0.55000000000000004"/>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931448"/>
        <c:crosses val="autoZero"/>
        <c:crossBetween val="between"/>
      </c:valAx>
      <c:spPr>
        <a:noFill/>
        <a:ln>
          <a:noFill/>
        </a:ln>
        <a:effectLst/>
      </c:spPr>
    </c:plotArea>
    <c:legend>
      <c:legendPos val="b"/>
      <c:layout>
        <c:manualLayout>
          <c:xMode val="edge"/>
          <c:yMode val="edge"/>
          <c:x val="3.2712414288971127E-2"/>
          <c:y val="0.79108632254301547"/>
          <c:w val="0.87444154113252548"/>
          <c:h val="0.181135899679206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briefing workings'!$A$51</c:f>
              <c:strCache>
                <c:ptCount val="1"/>
                <c:pt idx="0">
                  <c:v>Neighbour issues</c:v>
                </c:pt>
              </c:strCache>
            </c:strRef>
          </c:tx>
          <c:spPr>
            <a:solidFill>
              <a:schemeClr val="accent1"/>
            </a:solidFill>
            <a:ln>
              <a:noFill/>
            </a:ln>
            <a:effectLst/>
          </c:spPr>
          <c:invertIfNegative val="0"/>
          <c:cat>
            <c:multiLvlStrRef>
              <c:f>'Annual briefing workings'!$B$49:$I$50</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workings'!$B$51:$I$51</c:f>
              <c:numCache>
                <c:formatCode>0%</c:formatCode>
                <c:ptCount val="8"/>
                <c:pt idx="0">
                  <c:v>0.45</c:v>
                </c:pt>
                <c:pt idx="1">
                  <c:v>0.45</c:v>
                </c:pt>
                <c:pt idx="2">
                  <c:v>0.44</c:v>
                </c:pt>
                <c:pt idx="3">
                  <c:v>0.43</c:v>
                </c:pt>
                <c:pt idx="4">
                  <c:v>0.45</c:v>
                </c:pt>
                <c:pt idx="5">
                  <c:v>0.44</c:v>
                </c:pt>
                <c:pt idx="6">
                  <c:v>0.45</c:v>
                </c:pt>
                <c:pt idx="7">
                  <c:v>0.43</c:v>
                </c:pt>
              </c:numCache>
            </c:numRef>
          </c:val>
          <c:extLst>
            <c:ext xmlns:c16="http://schemas.microsoft.com/office/drawing/2014/chart" uri="{C3380CC4-5D6E-409C-BE32-E72D297353CC}">
              <c16:uniqueId val="{00000000-A42B-44BA-A110-5D7959018E03}"/>
            </c:ext>
          </c:extLst>
        </c:ser>
        <c:ser>
          <c:idx val="1"/>
          <c:order val="1"/>
          <c:tx>
            <c:strRef>
              <c:f>'Annual briefing workings'!$A$52</c:f>
              <c:strCache>
                <c:ptCount val="1"/>
                <c:pt idx="0">
                  <c:v>Anti-social behaviour</c:v>
                </c:pt>
              </c:strCache>
            </c:strRef>
          </c:tx>
          <c:spPr>
            <a:solidFill>
              <a:schemeClr val="accent2"/>
            </a:solidFill>
            <a:ln>
              <a:noFill/>
            </a:ln>
            <a:effectLst/>
          </c:spPr>
          <c:invertIfNegative val="0"/>
          <c:cat>
            <c:multiLvlStrRef>
              <c:f>'Annual briefing workings'!$B$49:$I$50</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workings'!$B$52:$I$52</c:f>
              <c:numCache>
                <c:formatCode>0%</c:formatCode>
                <c:ptCount val="8"/>
                <c:pt idx="0">
                  <c:v>0.2</c:v>
                </c:pt>
                <c:pt idx="1">
                  <c:v>0.19</c:v>
                </c:pt>
                <c:pt idx="2">
                  <c:v>0.19</c:v>
                </c:pt>
                <c:pt idx="3">
                  <c:v>0.19</c:v>
                </c:pt>
                <c:pt idx="4">
                  <c:v>0.23</c:v>
                </c:pt>
                <c:pt idx="5">
                  <c:v>0.2</c:v>
                </c:pt>
                <c:pt idx="6">
                  <c:v>0.21</c:v>
                </c:pt>
                <c:pt idx="7">
                  <c:v>0.22</c:v>
                </c:pt>
              </c:numCache>
            </c:numRef>
          </c:val>
          <c:extLst>
            <c:ext xmlns:c16="http://schemas.microsoft.com/office/drawing/2014/chart" uri="{C3380CC4-5D6E-409C-BE32-E72D297353CC}">
              <c16:uniqueId val="{00000001-A42B-44BA-A110-5D7959018E03}"/>
            </c:ext>
          </c:extLst>
        </c:ser>
        <c:ser>
          <c:idx val="2"/>
          <c:order val="2"/>
          <c:tx>
            <c:strRef>
              <c:f>'Annual briefing workings'!$A$53</c:f>
              <c:strCache>
                <c:ptCount val="1"/>
                <c:pt idx="0">
                  <c:v>Environmental issues</c:v>
                </c:pt>
              </c:strCache>
            </c:strRef>
          </c:tx>
          <c:spPr>
            <a:solidFill>
              <a:schemeClr val="accent3"/>
            </a:solidFill>
            <a:ln>
              <a:noFill/>
            </a:ln>
            <a:effectLst/>
          </c:spPr>
          <c:invertIfNegative val="0"/>
          <c:cat>
            <c:multiLvlStrRef>
              <c:f>'Annual briefing workings'!$B$49:$I$50</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workings'!$B$53:$I$53</c:f>
              <c:numCache>
                <c:formatCode>0%</c:formatCode>
                <c:ptCount val="8"/>
                <c:pt idx="0">
                  <c:v>0.14000000000000001</c:v>
                </c:pt>
                <c:pt idx="1">
                  <c:v>0.17</c:v>
                </c:pt>
                <c:pt idx="2">
                  <c:v>0.15</c:v>
                </c:pt>
                <c:pt idx="3">
                  <c:v>0.16</c:v>
                </c:pt>
                <c:pt idx="4">
                  <c:v>0.13</c:v>
                </c:pt>
                <c:pt idx="5">
                  <c:v>0.13</c:v>
                </c:pt>
                <c:pt idx="6">
                  <c:v>0.14000000000000001</c:v>
                </c:pt>
                <c:pt idx="7">
                  <c:v>0.15</c:v>
                </c:pt>
              </c:numCache>
            </c:numRef>
          </c:val>
          <c:extLst>
            <c:ext xmlns:c16="http://schemas.microsoft.com/office/drawing/2014/chart" uri="{C3380CC4-5D6E-409C-BE32-E72D297353CC}">
              <c16:uniqueId val="{00000002-A42B-44BA-A110-5D7959018E03}"/>
            </c:ext>
          </c:extLst>
        </c:ser>
        <c:ser>
          <c:idx val="3"/>
          <c:order val="3"/>
          <c:tx>
            <c:strRef>
              <c:f>'Annual briefing workings'!$A$54</c:f>
              <c:strCache>
                <c:ptCount val="1"/>
                <c:pt idx="0">
                  <c:v>Planning issues</c:v>
                </c:pt>
              </c:strCache>
            </c:strRef>
          </c:tx>
          <c:spPr>
            <a:solidFill>
              <a:schemeClr val="accent4"/>
            </a:solidFill>
            <a:ln>
              <a:noFill/>
            </a:ln>
            <a:effectLst/>
          </c:spPr>
          <c:invertIfNegative val="0"/>
          <c:cat>
            <c:multiLvlStrRef>
              <c:f>'Annual briefing workings'!$B$49:$I$50</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workings'!$B$54:$I$54</c:f>
              <c:numCache>
                <c:formatCode>0%</c:formatCode>
                <c:ptCount val="8"/>
                <c:pt idx="0">
                  <c:v>0.06</c:v>
                </c:pt>
                <c:pt idx="1">
                  <c:v>0.06</c:v>
                </c:pt>
                <c:pt idx="2">
                  <c:v>7.0000000000000007E-2</c:v>
                </c:pt>
                <c:pt idx="3">
                  <c:v>0.06</c:v>
                </c:pt>
                <c:pt idx="4">
                  <c:v>0.05</c:v>
                </c:pt>
                <c:pt idx="5">
                  <c:v>0.06</c:v>
                </c:pt>
                <c:pt idx="6">
                  <c:v>0.05</c:v>
                </c:pt>
                <c:pt idx="7">
                  <c:v>7.0000000000000007E-2</c:v>
                </c:pt>
              </c:numCache>
            </c:numRef>
          </c:val>
          <c:extLst>
            <c:ext xmlns:c16="http://schemas.microsoft.com/office/drawing/2014/chart" uri="{C3380CC4-5D6E-409C-BE32-E72D297353CC}">
              <c16:uniqueId val="{00000003-A42B-44BA-A110-5D7959018E03}"/>
            </c:ext>
          </c:extLst>
        </c:ser>
        <c:dLbls>
          <c:showLegendKey val="0"/>
          <c:showVal val="0"/>
          <c:showCatName val="0"/>
          <c:showSerName val="0"/>
          <c:showPercent val="0"/>
          <c:showBubbleSize val="0"/>
        </c:dLbls>
        <c:gapWidth val="35"/>
        <c:overlap val="-5"/>
        <c:axId val="701750432"/>
        <c:axId val="701750760"/>
      </c:barChart>
      <c:catAx>
        <c:axId val="70175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750760"/>
        <c:crosses val="autoZero"/>
        <c:auto val="1"/>
        <c:lblAlgn val="ctr"/>
        <c:lblOffset val="100"/>
        <c:noMultiLvlLbl val="0"/>
      </c:catAx>
      <c:valAx>
        <c:axId val="701750760"/>
        <c:scaling>
          <c:orientation val="minMax"/>
          <c:max val="0.45"/>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75043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'Annual briefing workings'!$A$57</c:f>
              <c:strCache>
                <c:ptCount val="1"/>
                <c:pt idx="0">
                  <c:v>Suitability of accommodation</c:v>
                </c:pt>
              </c:strCache>
            </c:strRef>
          </c:tx>
          <c:spPr>
            <a:solidFill>
              <a:schemeClr val="accent1"/>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workings'!$B$57:$I$57</c:f>
              <c:numCache>
                <c:formatCode>0%</c:formatCode>
                <c:ptCount val="8"/>
                <c:pt idx="0">
                  <c:v>0.1695264241592313</c:v>
                </c:pt>
                <c:pt idx="1">
                  <c:v>0.16361416361416362</c:v>
                </c:pt>
                <c:pt idx="2">
                  <c:v>0.15135135135135136</c:v>
                </c:pt>
                <c:pt idx="3">
                  <c:v>0.15472606863335339</c:v>
                </c:pt>
                <c:pt idx="4">
                  <c:v>0.12246777163904236</c:v>
                </c:pt>
                <c:pt idx="5">
                  <c:v>0.1474056603773585</c:v>
                </c:pt>
                <c:pt idx="6">
                  <c:v>0.15237080447522641</c:v>
                </c:pt>
                <c:pt idx="7">
                  <c:v>0.15178571428571427</c:v>
                </c:pt>
              </c:numCache>
            </c:numRef>
          </c:val>
          <c:extLst>
            <c:ext xmlns:c16="http://schemas.microsoft.com/office/drawing/2014/chart" uri="{C3380CC4-5D6E-409C-BE32-E72D297353CC}">
              <c16:uniqueId val="{00000000-5BA8-4C44-9689-3FA694A60274}"/>
            </c:ext>
          </c:extLst>
        </c:ser>
        <c:ser>
          <c:idx val="1"/>
          <c:order val="1"/>
          <c:tx>
            <c:strRef>
              <c:f>'Annual briefing workings'!$A$58</c:f>
              <c:strCache>
                <c:ptCount val="1"/>
                <c:pt idx="0">
                  <c:v>Repairs / maintenance</c:v>
                </c:pt>
              </c:strCache>
            </c:strRef>
          </c:tx>
          <c:spPr>
            <a:solidFill>
              <a:schemeClr val="accent2"/>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workings'!$B$58:$I$58</c:f>
              <c:numCache>
                <c:formatCode>0%</c:formatCode>
                <c:ptCount val="8"/>
                <c:pt idx="0">
                  <c:v>0.13246396705559368</c:v>
                </c:pt>
                <c:pt idx="1">
                  <c:v>0.13858363858363859</c:v>
                </c:pt>
                <c:pt idx="2">
                  <c:v>0.15675675675675677</c:v>
                </c:pt>
                <c:pt idx="3">
                  <c:v>0.15773630343166767</c:v>
                </c:pt>
                <c:pt idx="4">
                  <c:v>0.1427255985267035</c:v>
                </c:pt>
                <c:pt idx="5">
                  <c:v>0.15566037735849056</c:v>
                </c:pt>
                <c:pt idx="6">
                  <c:v>0.15396909962706445</c:v>
                </c:pt>
                <c:pt idx="7">
                  <c:v>0.17542016806722688</c:v>
                </c:pt>
              </c:numCache>
            </c:numRef>
          </c:val>
          <c:extLst>
            <c:ext xmlns:c16="http://schemas.microsoft.com/office/drawing/2014/chart" uri="{C3380CC4-5D6E-409C-BE32-E72D297353CC}">
              <c16:uniqueId val="{00000001-5BA8-4C44-9689-3FA694A60274}"/>
            </c:ext>
          </c:extLst>
        </c:ser>
        <c:ser>
          <c:idx val="2"/>
          <c:order val="2"/>
          <c:tx>
            <c:strRef>
              <c:f>'Annual briefing workings'!$A$59</c:f>
              <c:strCache>
                <c:ptCount val="1"/>
                <c:pt idx="0">
                  <c:v>Complaints</c:v>
                </c:pt>
              </c:strCache>
            </c:strRef>
          </c:tx>
          <c:spPr>
            <a:solidFill>
              <a:schemeClr val="accent3"/>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workings'!$B$59:$I$59</c:f>
              <c:numCache>
                <c:formatCode>0%</c:formatCode>
                <c:ptCount val="8"/>
                <c:pt idx="0">
                  <c:v>0.10089224433768017</c:v>
                </c:pt>
                <c:pt idx="1">
                  <c:v>0.10134310134310134</c:v>
                </c:pt>
                <c:pt idx="2">
                  <c:v>8.8888888888888892E-2</c:v>
                </c:pt>
                <c:pt idx="3">
                  <c:v>9.692956050571945E-2</c:v>
                </c:pt>
                <c:pt idx="4">
                  <c:v>0.1279926335174954</c:v>
                </c:pt>
                <c:pt idx="5">
                  <c:v>0.13325471698113209</c:v>
                </c:pt>
                <c:pt idx="6">
                  <c:v>0.12466702184336707</c:v>
                </c:pt>
                <c:pt idx="7">
                  <c:v>0.12710084033613445</c:v>
                </c:pt>
              </c:numCache>
            </c:numRef>
          </c:val>
          <c:extLst>
            <c:ext xmlns:c16="http://schemas.microsoft.com/office/drawing/2014/chart" uri="{C3380CC4-5D6E-409C-BE32-E72D297353CC}">
              <c16:uniqueId val="{00000002-5BA8-4C44-9689-3FA694A60274}"/>
            </c:ext>
          </c:extLst>
        </c:ser>
        <c:ser>
          <c:idx val="3"/>
          <c:order val="3"/>
          <c:tx>
            <c:strRef>
              <c:f>'Annual briefing workings'!$A$60</c:f>
              <c:strCache>
                <c:ptCount val="1"/>
                <c:pt idx="0">
                  <c:v>Rents and other charges</c:v>
                </c:pt>
              </c:strCache>
            </c:strRef>
          </c:tx>
          <c:spPr>
            <a:solidFill>
              <a:schemeClr val="accent4"/>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workings'!$B$60:$I$60</c:f>
              <c:numCache>
                <c:formatCode>0%</c:formatCode>
                <c:ptCount val="8"/>
                <c:pt idx="0">
                  <c:v>0.15374056280027454</c:v>
                </c:pt>
                <c:pt idx="1">
                  <c:v>0.14163614163614163</c:v>
                </c:pt>
                <c:pt idx="2">
                  <c:v>0.19579579579579579</c:v>
                </c:pt>
                <c:pt idx="3">
                  <c:v>0.1691751956652619</c:v>
                </c:pt>
                <c:pt idx="4">
                  <c:v>0.14180478821362799</c:v>
                </c:pt>
                <c:pt idx="5">
                  <c:v>0.10318396226415094</c:v>
                </c:pt>
                <c:pt idx="6">
                  <c:v>0.1054874800213106</c:v>
                </c:pt>
                <c:pt idx="7">
                  <c:v>8.8235294117647065E-2</c:v>
                </c:pt>
              </c:numCache>
            </c:numRef>
          </c:val>
          <c:extLst>
            <c:ext xmlns:c16="http://schemas.microsoft.com/office/drawing/2014/chart" uri="{C3380CC4-5D6E-409C-BE32-E72D297353CC}">
              <c16:uniqueId val="{00000003-5BA8-4C44-9689-3FA694A60274}"/>
            </c:ext>
          </c:extLst>
        </c:ser>
        <c:ser>
          <c:idx val="4"/>
          <c:order val="4"/>
          <c:tx>
            <c:strRef>
              <c:f>'Annual briefing workings'!$A$61</c:f>
              <c:strCache>
                <c:ptCount val="1"/>
                <c:pt idx="0">
                  <c:v>Housing stock transfer</c:v>
                </c:pt>
              </c:strCache>
            </c:strRef>
          </c:tx>
          <c:spPr>
            <a:solidFill>
              <a:schemeClr val="accent5"/>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workings'!$B$61:$I$61</c:f>
              <c:numCache>
                <c:formatCode>0%</c:formatCode>
                <c:ptCount val="8"/>
                <c:pt idx="0">
                  <c:v>3.4317089910775568E-2</c:v>
                </c:pt>
                <c:pt idx="1">
                  <c:v>2.6251526251526252E-2</c:v>
                </c:pt>
                <c:pt idx="2">
                  <c:v>2.4024024024024024E-2</c:v>
                </c:pt>
                <c:pt idx="3">
                  <c:v>2.6490066225165563E-2</c:v>
                </c:pt>
                <c:pt idx="4">
                  <c:v>1.9337016574585635E-2</c:v>
                </c:pt>
                <c:pt idx="5">
                  <c:v>3.6556603773584904E-2</c:v>
                </c:pt>
                <c:pt idx="6">
                  <c:v>3.4096963239211506E-2</c:v>
                </c:pt>
                <c:pt idx="7">
                  <c:v>2.5210084033613446E-2</c:v>
                </c:pt>
              </c:numCache>
            </c:numRef>
          </c:val>
          <c:extLst>
            <c:ext xmlns:c16="http://schemas.microsoft.com/office/drawing/2014/chart" uri="{C3380CC4-5D6E-409C-BE32-E72D297353CC}">
              <c16:uniqueId val="{00000004-5BA8-4C44-9689-3FA694A60274}"/>
            </c:ext>
          </c:extLst>
        </c:ser>
        <c:ser>
          <c:idx val="5"/>
          <c:order val="5"/>
          <c:tx>
            <c:strRef>
              <c:f>'Annual briefing workings'!$A$62</c:f>
              <c:strCache>
                <c:ptCount val="1"/>
                <c:pt idx="0">
                  <c:v>Succession rights</c:v>
                </c:pt>
              </c:strCache>
            </c:strRef>
          </c:tx>
          <c:spPr>
            <a:solidFill>
              <a:schemeClr val="accent6"/>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workings'!$B$62:$I$62</c:f>
              <c:numCache>
                <c:formatCode>0%</c:formatCode>
                <c:ptCount val="8"/>
                <c:pt idx="0">
                  <c:v>0.02</c:v>
                </c:pt>
                <c:pt idx="1">
                  <c:v>0.02</c:v>
                </c:pt>
                <c:pt idx="2">
                  <c:v>0.02</c:v>
                </c:pt>
                <c:pt idx="3">
                  <c:v>0.02</c:v>
                </c:pt>
                <c:pt idx="4">
                  <c:v>0.05</c:v>
                </c:pt>
                <c:pt idx="5">
                  <c:v>0.04</c:v>
                </c:pt>
                <c:pt idx="6">
                  <c:v>0.03</c:v>
                </c:pt>
                <c:pt idx="7">
                  <c:v>0.04</c:v>
                </c:pt>
              </c:numCache>
            </c:numRef>
          </c:val>
          <c:extLst>
            <c:ext xmlns:c16="http://schemas.microsoft.com/office/drawing/2014/chart" uri="{C3380CC4-5D6E-409C-BE32-E72D297353CC}">
              <c16:uniqueId val="{00000005-5BA8-4C44-9689-3FA694A60274}"/>
            </c:ext>
          </c:extLst>
        </c:ser>
        <c:ser>
          <c:idx val="6"/>
          <c:order val="6"/>
          <c:tx>
            <c:strRef>
              <c:f>'Annual briefing workings'!$A$63</c:f>
              <c:strCache>
                <c:ptCount val="1"/>
                <c:pt idx="0">
                  <c:v>Security of tenure</c:v>
                </c:pt>
              </c:strCache>
            </c:strRef>
          </c:tx>
          <c:spPr>
            <a:solidFill>
              <a:schemeClr val="accent1">
                <a:lumMod val="60000"/>
              </a:schemeClr>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workings'!$B$63:$I$63</c:f>
              <c:numCache>
                <c:formatCode>0%</c:formatCode>
                <c:ptCount val="8"/>
                <c:pt idx="0">
                  <c:v>0.04</c:v>
                </c:pt>
                <c:pt idx="1">
                  <c:v>0.03</c:v>
                </c:pt>
                <c:pt idx="2">
                  <c:v>0.05</c:v>
                </c:pt>
                <c:pt idx="3">
                  <c:v>0.04</c:v>
                </c:pt>
                <c:pt idx="4">
                  <c:v>0.04</c:v>
                </c:pt>
                <c:pt idx="5">
                  <c:v>0.05</c:v>
                </c:pt>
                <c:pt idx="6">
                  <c:v>0.03</c:v>
                </c:pt>
                <c:pt idx="7">
                  <c:v>0.03</c:v>
                </c:pt>
              </c:numCache>
            </c:numRef>
          </c:val>
          <c:extLst>
            <c:ext xmlns:c16="http://schemas.microsoft.com/office/drawing/2014/chart" uri="{C3380CC4-5D6E-409C-BE32-E72D297353CC}">
              <c16:uniqueId val="{00000006-5BA8-4C44-9689-3FA694A60274}"/>
            </c:ext>
          </c:extLst>
        </c:ser>
        <c:ser>
          <c:idx val="7"/>
          <c:order val="7"/>
          <c:tx>
            <c:strRef>
              <c:f>'Annual briefing workings'!$A$64</c:f>
              <c:strCache>
                <c:ptCount val="1"/>
                <c:pt idx="0">
                  <c:v>Quality of administration and support</c:v>
                </c:pt>
              </c:strCache>
            </c:strRef>
          </c:tx>
          <c:spPr>
            <a:solidFill>
              <a:schemeClr val="accent2">
                <a:lumMod val="60000"/>
              </a:schemeClr>
            </a:solidFill>
            <a:ln>
              <a:noFill/>
            </a:ln>
            <a:effectLst/>
          </c:spPr>
          <c:invertIfNegative val="0"/>
          <c:cat>
            <c:multiLvlStrRef>
              <c:f>'Annual briefing workings'!$B$55:$I$56</c:f>
              <c:multiLvlStrCache>
                <c:ptCount val="8"/>
                <c:lvl>
                  <c:pt idx="0">
                    <c:v>Q1 (Apr-Jun 19)</c:v>
                  </c:pt>
                  <c:pt idx="1">
                    <c:v>Q2 (Jul-Sep 19)</c:v>
                  </c:pt>
                  <c:pt idx="2">
                    <c:v>Q3 (Oct-Dec 19)</c:v>
                  </c:pt>
                  <c:pt idx="3">
                    <c:v>Q4 (Jan-Mar 20)</c:v>
                  </c:pt>
                  <c:pt idx="4">
                    <c:v>Q1 (Apr-Jun 20)</c:v>
                  </c:pt>
                  <c:pt idx="5">
                    <c:v>Q2 (Jul-Sep 20)</c:v>
                  </c:pt>
                  <c:pt idx="6">
                    <c:v>Q3 (Oct-Dec 20)</c:v>
                  </c:pt>
                  <c:pt idx="7">
                    <c:v>Q4 (Jan-Mar 21)</c:v>
                  </c:pt>
                </c:lvl>
                <c:lvl>
                  <c:pt idx="0">
                    <c:v>2019-20</c:v>
                  </c:pt>
                  <c:pt idx="4">
                    <c:v>2020-21</c:v>
                  </c:pt>
                </c:lvl>
              </c:multiLvlStrCache>
            </c:multiLvlStrRef>
          </c:cat>
          <c:val>
            <c:numRef>
              <c:f>'Annual briefing workings'!$B$64:$I$64</c:f>
              <c:numCache>
                <c:formatCode>0%</c:formatCode>
                <c:ptCount val="8"/>
                <c:pt idx="0">
                  <c:v>2.0590253946465339E-2</c:v>
                </c:pt>
                <c:pt idx="1">
                  <c:v>2.9304029304029304E-2</c:v>
                </c:pt>
                <c:pt idx="2">
                  <c:v>1.9819819819819819E-2</c:v>
                </c:pt>
                <c:pt idx="3">
                  <c:v>2.5888019265502708E-2</c:v>
                </c:pt>
                <c:pt idx="4">
                  <c:v>2.85451197053407E-2</c:v>
                </c:pt>
                <c:pt idx="5">
                  <c:v>2.2995283018867923E-2</c:v>
                </c:pt>
                <c:pt idx="6">
                  <c:v>3.6760788492274904E-2</c:v>
                </c:pt>
                <c:pt idx="7">
                  <c:v>3.8340336134453784E-2</c:v>
                </c:pt>
              </c:numCache>
            </c:numRef>
          </c:val>
          <c:extLst>
            <c:ext xmlns:c16="http://schemas.microsoft.com/office/drawing/2014/chart" uri="{C3380CC4-5D6E-409C-BE32-E72D297353CC}">
              <c16:uniqueId val="{00000007-5BA8-4C44-9689-3FA694A60274}"/>
            </c:ext>
          </c:extLst>
        </c:ser>
        <c:dLbls>
          <c:showLegendKey val="0"/>
          <c:showVal val="0"/>
          <c:showCatName val="0"/>
          <c:showSerName val="0"/>
          <c:showPercent val="0"/>
          <c:showBubbleSize val="0"/>
        </c:dLbls>
        <c:gapWidth val="35"/>
        <c:overlap val="100"/>
        <c:axId val="700180272"/>
        <c:axId val="616438432"/>
      </c:barChart>
      <c:catAx>
        <c:axId val="700180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438432"/>
        <c:crosses val="autoZero"/>
        <c:auto val="1"/>
        <c:lblAlgn val="ctr"/>
        <c:lblOffset val="100"/>
        <c:noMultiLvlLbl val="0"/>
      </c:catAx>
      <c:valAx>
        <c:axId val="616438432"/>
        <c:scaling>
          <c:orientation val="minMax"/>
          <c:max val="0.72000000000000008"/>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18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briefing workings'!$A$85</c:f>
              <c:strCache>
                <c:ptCount val="1"/>
                <c:pt idx="0">
                  <c:v>Rents and other charges</c:v>
                </c:pt>
              </c:strCache>
            </c:strRef>
          </c:tx>
          <c:spPr>
            <a:solidFill>
              <a:schemeClr val="accent1"/>
            </a:solidFill>
            <a:ln>
              <a:noFill/>
            </a:ln>
            <a:effectLst/>
          </c:spPr>
          <c:invertIfNegative val="0"/>
          <c:cat>
            <c:multiLvlStrRef>
              <c:f>'Annual briefing workings'!$B$83:$I$84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workings'!$B$85:$I$85</c:f>
              <c:numCache>
                <c:formatCode>0%</c:formatCode>
                <c:ptCount val="8"/>
                <c:pt idx="0">
                  <c:v>0.26</c:v>
                </c:pt>
                <c:pt idx="1">
                  <c:v>0.23</c:v>
                </c:pt>
                <c:pt idx="2">
                  <c:v>0.23</c:v>
                </c:pt>
                <c:pt idx="3">
                  <c:v>0.21</c:v>
                </c:pt>
                <c:pt idx="4">
                  <c:v>0.21</c:v>
                </c:pt>
                <c:pt idx="5">
                  <c:v>0.15</c:v>
                </c:pt>
                <c:pt idx="6">
                  <c:v>0.17</c:v>
                </c:pt>
                <c:pt idx="7">
                  <c:v>0.13</c:v>
                </c:pt>
              </c:numCache>
            </c:numRef>
          </c:val>
          <c:extLst>
            <c:ext xmlns:c16="http://schemas.microsoft.com/office/drawing/2014/chart" uri="{C3380CC4-5D6E-409C-BE32-E72D297353CC}">
              <c16:uniqueId val="{00000000-DE1C-4BBD-BA0D-8F0C7D77F5AD}"/>
            </c:ext>
          </c:extLst>
        </c:ser>
        <c:ser>
          <c:idx val="1"/>
          <c:order val="1"/>
          <c:tx>
            <c:strRef>
              <c:f>'Annual briefing workings'!$A$86</c:f>
              <c:strCache>
                <c:ptCount val="1"/>
                <c:pt idx="0">
                  <c:v>Repairs / maintenance</c:v>
                </c:pt>
              </c:strCache>
            </c:strRef>
          </c:tx>
          <c:spPr>
            <a:solidFill>
              <a:schemeClr val="accent2"/>
            </a:solidFill>
            <a:ln>
              <a:noFill/>
            </a:ln>
            <a:effectLst/>
          </c:spPr>
          <c:invertIfNegative val="0"/>
          <c:cat>
            <c:multiLvlStrRef>
              <c:f>'Annual briefing workings'!$B$83:$I$84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workings'!$B$86:$I$86</c:f>
              <c:numCache>
                <c:formatCode>0%</c:formatCode>
                <c:ptCount val="8"/>
                <c:pt idx="0">
                  <c:v>0.13</c:v>
                </c:pt>
                <c:pt idx="1">
                  <c:v>0.16</c:v>
                </c:pt>
                <c:pt idx="2">
                  <c:v>0.17</c:v>
                </c:pt>
                <c:pt idx="3">
                  <c:v>0.14000000000000001</c:v>
                </c:pt>
                <c:pt idx="4">
                  <c:v>0.14000000000000001</c:v>
                </c:pt>
                <c:pt idx="5">
                  <c:v>0.16</c:v>
                </c:pt>
                <c:pt idx="6">
                  <c:v>0.16</c:v>
                </c:pt>
                <c:pt idx="7">
                  <c:v>0.17</c:v>
                </c:pt>
              </c:numCache>
            </c:numRef>
          </c:val>
          <c:extLst>
            <c:ext xmlns:c16="http://schemas.microsoft.com/office/drawing/2014/chart" uri="{C3380CC4-5D6E-409C-BE32-E72D297353CC}">
              <c16:uniqueId val="{00000001-DE1C-4BBD-BA0D-8F0C7D77F5AD}"/>
            </c:ext>
          </c:extLst>
        </c:ser>
        <c:ser>
          <c:idx val="2"/>
          <c:order val="2"/>
          <c:tx>
            <c:strRef>
              <c:f>'Annual briefing workings'!$A$87</c:f>
              <c:strCache>
                <c:ptCount val="1"/>
                <c:pt idx="0">
                  <c:v>Complaints</c:v>
                </c:pt>
              </c:strCache>
            </c:strRef>
          </c:tx>
          <c:spPr>
            <a:solidFill>
              <a:schemeClr val="accent3"/>
            </a:solidFill>
            <a:ln>
              <a:noFill/>
            </a:ln>
            <a:effectLst/>
          </c:spPr>
          <c:invertIfNegative val="0"/>
          <c:cat>
            <c:multiLvlStrRef>
              <c:f>'Annual briefing workings'!$B$83:$I$84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workings'!$B$87:$I$87</c:f>
              <c:numCache>
                <c:formatCode>0%</c:formatCode>
                <c:ptCount val="8"/>
                <c:pt idx="0">
                  <c:v>0.11</c:v>
                </c:pt>
                <c:pt idx="1">
                  <c:v>0.12</c:v>
                </c:pt>
                <c:pt idx="2">
                  <c:v>0.14000000000000001</c:v>
                </c:pt>
                <c:pt idx="3">
                  <c:v>0.13</c:v>
                </c:pt>
                <c:pt idx="4">
                  <c:v>0.16</c:v>
                </c:pt>
                <c:pt idx="5">
                  <c:v>0.19</c:v>
                </c:pt>
                <c:pt idx="6">
                  <c:v>0.14000000000000001</c:v>
                </c:pt>
                <c:pt idx="7">
                  <c:v>0.15</c:v>
                </c:pt>
              </c:numCache>
            </c:numRef>
          </c:val>
          <c:extLst>
            <c:ext xmlns:c16="http://schemas.microsoft.com/office/drawing/2014/chart" uri="{C3380CC4-5D6E-409C-BE32-E72D297353CC}">
              <c16:uniqueId val="{00000002-DE1C-4BBD-BA0D-8F0C7D77F5AD}"/>
            </c:ext>
          </c:extLst>
        </c:ser>
        <c:ser>
          <c:idx val="3"/>
          <c:order val="3"/>
          <c:tx>
            <c:strRef>
              <c:f>'Annual briefing workings'!$A$88</c:f>
              <c:strCache>
                <c:ptCount val="1"/>
                <c:pt idx="0">
                  <c:v>Suitability of accommodation</c:v>
                </c:pt>
              </c:strCache>
            </c:strRef>
          </c:tx>
          <c:spPr>
            <a:solidFill>
              <a:schemeClr val="accent4"/>
            </a:solidFill>
            <a:ln>
              <a:noFill/>
            </a:ln>
            <a:effectLst/>
          </c:spPr>
          <c:invertIfNegative val="0"/>
          <c:cat>
            <c:multiLvlStrRef>
              <c:f>'Annual briefing workings'!$B$83:$I$84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workings'!$B$88:$I$88</c:f>
              <c:numCache>
                <c:formatCode>0%</c:formatCode>
                <c:ptCount val="8"/>
                <c:pt idx="0">
                  <c:v>0.09</c:v>
                </c:pt>
                <c:pt idx="1">
                  <c:v>0.11</c:v>
                </c:pt>
                <c:pt idx="2">
                  <c:v>0.09</c:v>
                </c:pt>
                <c:pt idx="3">
                  <c:v>0.11</c:v>
                </c:pt>
                <c:pt idx="4">
                  <c:v>0.08</c:v>
                </c:pt>
                <c:pt idx="5">
                  <c:v>0.11</c:v>
                </c:pt>
                <c:pt idx="6">
                  <c:v>0.1</c:v>
                </c:pt>
                <c:pt idx="7">
                  <c:v>0.11</c:v>
                </c:pt>
              </c:numCache>
            </c:numRef>
          </c:val>
          <c:extLst>
            <c:ext xmlns:c16="http://schemas.microsoft.com/office/drawing/2014/chart" uri="{C3380CC4-5D6E-409C-BE32-E72D297353CC}">
              <c16:uniqueId val="{00000003-DE1C-4BBD-BA0D-8F0C7D77F5AD}"/>
            </c:ext>
          </c:extLst>
        </c:ser>
        <c:dLbls>
          <c:showLegendKey val="0"/>
          <c:showVal val="0"/>
          <c:showCatName val="0"/>
          <c:showSerName val="0"/>
          <c:showPercent val="0"/>
          <c:showBubbleSize val="0"/>
        </c:dLbls>
        <c:gapWidth val="35"/>
        <c:overlap val="-5"/>
        <c:axId val="188765248"/>
        <c:axId val="188767216"/>
      </c:barChart>
      <c:catAx>
        <c:axId val="18876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7216"/>
        <c:crosses val="autoZero"/>
        <c:auto val="1"/>
        <c:lblAlgn val="ctr"/>
        <c:lblOffset val="100"/>
        <c:noMultiLvlLbl val="0"/>
      </c:catAx>
      <c:valAx>
        <c:axId val="188767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524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briefing workings'!$T$35</c:f>
              <c:strCache>
                <c:ptCount val="1"/>
                <c:pt idx="0">
                  <c:v>Homelessness - actual</c:v>
                </c:pt>
              </c:strCache>
            </c:strRef>
          </c:tx>
          <c:spPr>
            <a:solidFill>
              <a:schemeClr val="accent1"/>
            </a:solidFill>
            <a:ln>
              <a:noFill/>
            </a:ln>
            <a:effectLst/>
          </c:spPr>
          <c:invertIfNegative val="0"/>
          <c:cat>
            <c:multiLvlStrRef>
              <c:f>'Annual briefing workings'!$U$33:$AB$34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workings'!$U$35:$AB$35</c:f>
              <c:numCache>
                <c:formatCode>0%</c:formatCode>
                <c:ptCount val="8"/>
                <c:pt idx="0">
                  <c:v>0.18533257532689029</c:v>
                </c:pt>
                <c:pt idx="1">
                  <c:v>0.21146764860599684</c:v>
                </c:pt>
                <c:pt idx="2">
                  <c:v>0.1793448084397557</c:v>
                </c:pt>
                <c:pt idx="3">
                  <c:v>0.17272727272727273</c:v>
                </c:pt>
                <c:pt idx="4">
                  <c:v>0.2294455066921606</c:v>
                </c:pt>
                <c:pt idx="5">
                  <c:v>0.26972010178117051</c:v>
                </c:pt>
                <c:pt idx="6">
                  <c:v>0.22081387591727819</c:v>
                </c:pt>
                <c:pt idx="7">
                  <c:v>0.21982116244411326</c:v>
                </c:pt>
              </c:numCache>
            </c:numRef>
          </c:val>
          <c:extLst>
            <c:ext xmlns:c16="http://schemas.microsoft.com/office/drawing/2014/chart" uri="{C3380CC4-5D6E-409C-BE32-E72D297353CC}">
              <c16:uniqueId val="{00000000-9731-40F7-8853-9B9C8D4FF39F}"/>
            </c:ext>
          </c:extLst>
        </c:ser>
        <c:ser>
          <c:idx val="1"/>
          <c:order val="1"/>
          <c:tx>
            <c:strRef>
              <c:f>'Annual briefing workings'!$T$36</c:f>
              <c:strCache>
                <c:ptCount val="1"/>
                <c:pt idx="0">
                  <c:v>Homelessness - local authority service</c:v>
                </c:pt>
              </c:strCache>
            </c:strRef>
          </c:tx>
          <c:spPr>
            <a:solidFill>
              <a:schemeClr val="accent2"/>
            </a:solidFill>
            <a:ln>
              <a:noFill/>
            </a:ln>
            <a:effectLst/>
          </c:spPr>
          <c:invertIfNegative val="0"/>
          <c:cat>
            <c:multiLvlStrRef>
              <c:f>'Annual briefing workings'!$U$33:$AB$34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workings'!$U$36:$AB$36</c:f>
              <c:numCache>
                <c:formatCode>0%</c:formatCode>
                <c:ptCount val="8"/>
                <c:pt idx="0">
                  <c:v>0.28197839681637293</c:v>
                </c:pt>
                <c:pt idx="1">
                  <c:v>0.27459231983166754</c:v>
                </c:pt>
                <c:pt idx="2">
                  <c:v>0.27484730705163796</c:v>
                </c:pt>
                <c:pt idx="3">
                  <c:v>0.26761363636363639</c:v>
                </c:pt>
                <c:pt idx="4">
                  <c:v>0.384321223709369</c:v>
                </c:pt>
                <c:pt idx="5">
                  <c:v>0.37849872773536897</c:v>
                </c:pt>
                <c:pt idx="6">
                  <c:v>0.4429619746497665</c:v>
                </c:pt>
                <c:pt idx="7">
                  <c:v>0.40760059612518629</c:v>
                </c:pt>
              </c:numCache>
            </c:numRef>
          </c:val>
          <c:extLst>
            <c:ext xmlns:c16="http://schemas.microsoft.com/office/drawing/2014/chart" uri="{C3380CC4-5D6E-409C-BE32-E72D297353CC}">
              <c16:uniqueId val="{00000001-9731-40F7-8853-9B9C8D4FF39F}"/>
            </c:ext>
          </c:extLst>
        </c:ser>
        <c:ser>
          <c:idx val="2"/>
          <c:order val="2"/>
          <c:tx>
            <c:strRef>
              <c:f>'Annual briefing workings'!$T$37</c:f>
              <c:strCache>
                <c:ptCount val="1"/>
                <c:pt idx="0">
                  <c:v>Homelessness - threatened</c:v>
                </c:pt>
              </c:strCache>
            </c:strRef>
          </c:tx>
          <c:spPr>
            <a:solidFill>
              <a:schemeClr val="accent3"/>
            </a:solidFill>
            <a:ln>
              <a:noFill/>
            </a:ln>
            <a:effectLst/>
          </c:spPr>
          <c:invertIfNegative val="0"/>
          <c:cat>
            <c:multiLvlStrRef>
              <c:f>'Annual briefing workings'!$U$33:$AB$34</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workings'!$U$37:$AB$37</c:f>
              <c:numCache>
                <c:formatCode>0%</c:formatCode>
                <c:ptCount val="8"/>
                <c:pt idx="0">
                  <c:v>0.53268902785673677</c:v>
                </c:pt>
                <c:pt idx="1">
                  <c:v>0.51394003156233559</c:v>
                </c:pt>
                <c:pt idx="2">
                  <c:v>0.54580788450860629</c:v>
                </c:pt>
                <c:pt idx="3">
                  <c:v>0.55965909090909094</c:v>
                </c:pt>
                <c:pt idx="4">
                  <c:v>0.38623326959847037</c:v>
                </c:pt>
                <c:pt idx="5">
                  <c:v>0.35178117048346058</c:v>
                </c:pt>
                <c:pt idx="6">
                  <c:v>0.33622414943295531</c:v>
                </c:pt>
                <c:pt idx="7">
                  <c:v>0.37257824143070045</c:v>
                </c:pt>
              </c:numCache>
            </c:numRef>
          </c:val>
          <c:extLst>
            <c:ext xmlns:c16="http://schemas.microsoft.com/office/drawing/2014/chart" uri="{C3380CC4-5D6E-409C-BE32-E72D297353CC}">
              <c16:uniqueId val="{00000002-9731-40F7-8853-9B9C8D4FF39F}"/>
            </c:ext>
          </c:extLst>
        </c:ser>
        <c:dLbls>
          <c:showLegendKey val="0"/>
          <c:showVal val="0"/>
          <c:showCatName val="0"/>
          <c:showSerName val="0"/>
          <c:showPercent val="0"/>
          <c:showBubbleSize val="0"/>
        </c:dLbls>
        <c:gapWidth val="35"/>
        <c:overlap val="-5"/>
        <c:axId val="426431432"/>
        <c:axId val="426429464"/>
      </c:barChart>
      <c:catAx>
        <c:axId val="42643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429464"/>
        <c:crosses val="autoZero"/>
        <c:auto val="1"/>
        <c:lblAlgn val="ctr"/>
        <c:lblOffset val="100"/>
        <c:noMultiLvlLbl val="0"/>
      </c:catAx>
      <c:valAx>
        <c:axId val="426429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43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'Annual briefing workings'!$A$70</c:f>
              <c:strCache>
                <c:ptCount val="1"/>
                <c:pt idx="0">
                  <c:v>Local Authority arrears</c:v>
                </c:pt>
              </c:strCache>
            </c:strRef>
          </c:tx>
          <c:spPr>
            <a:solidFill>
              <a:schemeClr val="accent1"/>
            </a:solidFill>
            <a:ln>
              <a:noFill/>
            </a:ln>
            <a:effectLst/>
          </c:spPr>
          <c:invertIfNegative val="0"/>
          <c:cat>
            <c:multiLvlStrRef>
              <c:f>'Annual briefing workings'!$B$68:$I$69</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workings'!$B$70:$I$70</c:f>
              <c:numCache>
                <c:formatCode>0%</c:formatCode>
                <c:ptCount val="8"/>
                <c:pt idx="0">
                  <c:v>0.49</c:v>
                </c:pt>
                <c:pt idx="1">
                  <c:v>0.5</c:v>
                </c:pt>
                <c:pt idx="2">
                  <c:v>0.49</c:v>
                </c:pt>
                <c:pt idx="3">
                  <c:v>0.48</c:v>
                </c:pt>
                <c:pt idx="4">
                  <c:v>0.42</c:v>
                </c:pt>
                <c:pt idx="5">
                  <c:v>0.4</c:v>
                </c:pt>
                <c:pt idx="6">
                  <c:v>0.44</c:v>
                </c:pt>
                <c:pt idx="7">
                  <c:v>0.4</c:v>
                </c:pt>
              </c:numCache>
            </c:numRef>
          </c:val>
          <c:extLst>
            <c:ext xmlns:c16="http://schemas.microsoft.com/office/drawing/2014/chart" uri="{C3380CC4-5D6E-409C-BE32-E72D297353CC}">
              <c16:uniqueId val="{00000000-41E8-495B-BB29-9D31A91C582C}"/>
            </c:ext>
          </c:extLst>
        </c:ser>
        <c:ser>
          <c:idx val="1"/>
          <c:order val="1"/>
          <c:tx>
            <c:strRef>
              <c:f>'Annual briefing workings'!$A$71</c:f>
              <c:strCache>
                <c:ptCount val="1"/>
                <c:pt idx="0">
                  <c:v>Registered Social Landlord arrears</c:v>
                </c:pt>
              </c:strCache>
            </c:strRef>
          </c:tx>
          <c:spPr>
            <a:solidFill>
              <a:schemeClr val="accent2"/>
            </a:solidFill>
            <a:ln>
              <a:noFill/>
            </a:ln>
            <a:effectLst/>
          </c:spPr>
          <c:invertIfNegative val="0"/>
          <c:cat>
            <c:multiLvlStrRef>
              <c:f>'Annual briefing workings'!$B$68:$I$69</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workings'!$B$71:$I$71</c:f>
              <c:numCache>
                <c:formatCode>0%</c:formatCode>
                <c:ptCount val="8"/>
                <c:pt idx="0">
                  <c:v>0.26</c:v>
                </c:pt>
                <c:pt idx="1">
                  <c:v>0.27</c:v>
                </c:pt>
                <c:pt idx="2">
                  <c:v>0.28999999999999998</c:v>
                </c:pt>
                <c:pt idx="3">
                  <c:v>0.3</c:v>
                </c:pt>
                <c:pt idx="4">
                  <c:v>0.24</c:v>
                </c:pt>
                <c:pt idx="5">
                  <c:v>0.28000000000000003</c:v>
                </c:pt>
                <c:pt idx="6">
                  <c:v>0.26</c:v>
                </c:pt>
                <c:pt idx="7">
                  <c:v>0.28999999999999998</c:v>
                </c:pt>
              </c:numCache>
            </c:numRef>
          </c:val>
          <c:extLst>
            <c:ext xmlns:c16="http://schemas.microsoft.com/office/drawing/2014/chart" uri="{C3380CC4-5D6E-409C-BE32-E72D297353CC}">
              <c16:uniqueId val="{00000001-41E8-495B-BB29-9D31A91C582C}"/>
            </c:ext>
          </c:extLst>
        </c:ser>
        <c:ser>
          <c:idx val="2"/>
          <c:order val="2"/>
          <c:tx>
            <c:strRef>
              <c:f>'Annual briefing workings'!$A$72</c:f>
              <c:strCache>
                <c:ptCount val="1"/>
                <c:pt idx="0">
                  <c:v>Mortgage/secured loans</c:v>
                </c:pt>
              </c:strCache>
            </c:strRef>
          </c:tx>
          <c:spPr>
            <a:solidFill>
              <a:schemeClr val="accent3"/>
            </a:solidFill>
            <a:ln>
              <a:noFill/>
            </a:ln>
            <a:effectLst/>
          </c:spPr>
          <c:invertIfNegative val="0"/>
          <c:cat>
            <c:multiLvlStrRef>
              <c:f>'Annual briefing workings'!$B$68:$I$69</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workings'!$B$72:$I$72</c:f>
              <c:numCache>
                <c:formatCode>0%</c:formatCode>
                <c:ptCount val="8"/>
                <c:pt idx="0">
                  <c:v>0.18</c:v>
                </c:pt>
                <c:pt idx="1">
                  <c:v>0.17</c:v>
                </c:pt>
                <c:pt idx="2">
                  <c:v>0.15</c:v>
                </c:pt>
                <c:pt idx="3">
                  <c:v>0.17</c:v>
                </c:pt>
                <c:pt idx="4">
                  <c:v>0.2</c:v>
                </c:pt>
                <c:pt idx="5">
                  <c:v>0.15</c:v>
                </c:pt>
                <c:pt idx="6">
                  <c:v>0.17</c:v>
                </c:pt>
                <c:pt idx="7">
                  <c:v>0.18</c:v>
                </c:pt>
              </c:numCache>
            </c:numRef>
          </c:val>
          <c:extLst>
            <c:ext xmlns:c16="http://schemas.microsoft.com/office/drawing/2014/chart" uri="{C3380CC4-5D6E-409C-BE32-E72D297353CC}">
              <c16:uniqueId val="{00000002-41E8-495B-BB29-9D31A91C582C}"/>
            </c:ext>
          </c:extLst>
        </c:ser>
        <c:ser>
          <c:idx val="3"/>
          <c:order val="3"/>
          <c:tx>
            <c:strRef>
              <c:f>'Annual briefing workings'!$A$73</c:f>
              <c:strCache>
                <c:ptCount val="1"/>
                <c:pt idx="0">
                  <c:v>Private Rented Sector arrears</c:v>
                </c:pt>
              </c:strCache>
            </c:strRef>
          </c:tx>
          <c:spPr>
            <a:solidFill>
              <a:schemeClr val="accent4"/>
            </a:solidFill>
            <a:ln>
              <a:noFill/>
            </a:ln>
            <a:effectLst/>
          </c:spPr>
          <c:invertIfNegative val="0"/>
          <c:cat>
            <c:multiLvlStrRef>
              <c:f>'Annual briefing workings'!$B$68:$I$69</c:f>
              <c:multiLvlStrCache>
                <c:ptCount val="8"/>
                <c:lvl>
                  <c:pt idx="0">
                    <c:v>Q1</c:v>
                  </c:pt>
                  <c:pt idx="1">
                    <c:v>Q2</c:v>
                  </c:pt>
                  <c:pt idx="2">
                    <c:v>Q3</c:v>
                  </c:pt>
                  <c:pt idx="3">
                    <c:v>Q4</c:v>
                  </c:pt>
                  <c:pt idx="4">
                    <c:v>Q1</c:v>
                  </c:pt>
                  <c:pt idx="5">
                    <c:v>Q2</c:v>
                  </c:pt>
                  <c:pt idx="6">
                    <c:v>Q3</c:v>
                  </c:pt>
                  <c:pt idx="7">
                    <c:v>Q4</c:v>
                  </c:pt>
                </c:lvl>
                <c:lvl>
                  <c:pt idx="0">
                    <c:v>2019-20</c:v>
                  </c:pt>
                  <c:pt idx="4">
                    <c:v>2020-21</c:v>
                  </c:pt>
                </c:lvl>
              </c:multiLvlStrCache>
            </c:multiLvlStrRef>
          </c:cat>
          <c:val>
            <c:numRef>
              <c:f>'Annual briefing workings'!$B$73:$I$73</c:f>
              <c:numCache>
                <c:formatCode>0%</c:formatCode>
                <c:ptCount val="8"/>
                <c:pt idx="0">
                  <c:v>0.06</c:v>
                </c:pt>
                <c:pt idx="1">
                  <c:v>0.06</c:v>
                </c:pt>
                <c:pt idx="2">
                  <c:v>0.06</c:v>
                </c:pt>
                <c:pt idx="3">
                  <c:v>0.06</c:v>
                </c:pt>
                <c:pt idx="4">
                  <c:v>0.14000000000000001</c:v>
                </c:pt>
                <c:pt idx="5">
                  <c:v>0.17</c:v>
                </c:pt>
                <c:pt idx="6">
                  <c:v>0.12</c:v>
                </c:pt>
                <c:pt idx="7">
                  <c:v>0.12</c:v>
                </c:pt>
              </c:numCache>
            </c:numRef>
          </c:val>
          <c:extLst>
            <c:ext xmlns:c16="http://schemas.microsoft.com/office/drawing/2014/chart" uri="{C3380CC4-5D6E-409C-BE32-E72D297353CC}">
              <c16:uniqueId val="{00000003-41E8-495B-BB29-9D31A91C582C}"/>
            </c:ext>
          </c:extLst>
        </c:ser>
        <c:dLbls>
          <c:showLegendKey val="0"/>
          <c:showVal val="0"/>
          <c:showCatName val="0"/>
          <c:showSerName val="0"/>
          <c:showPercent val="0"/>
          <c:showBubbleSize val="0"/>
        </c:dLbls>
        <c:gapWidth val="35"/>
        <c:overlap val="-5"/>
        <c:axId val="427673944"/>
        <c:axId val="427676568"/>
      </c:barChart>
      <c:catAx>
        <c:axId val="42767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676568"/>
        <c:crosses val="autoZero"/>
        <c:auto val="1"/>
        <c:lblAlgn val="ctr"/>
        <c:lblOffset val="100"/>
        <c:noMultiLvlLbl val="0"/>
      </c:catAx>
      <c:valAx>
        <c:axId val="42767656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67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21D8D7D19C24F993AB204CCB9600A" ma:contentTypeVersion="14" ma:contentTypeDescription="Create a new document." ma:contentTypeScope="" ma:versionID="39f85e5ed6fc94d5a0122440fce3476f">
  <xsd:schema xmlns:xsd="http://www.w3.org/2001/XMLSchema" xmlns:xs="http://www.w3.org/2001/XMLSchema" xmlns:p="http://schemas.microsoft.com/office/2006/metadata/properties" xmlns:ns2="f14003d8-189c-4848-b6f8-25bad7f35840" xmlns:ns3="5c42ad33-de3f-4e14-a3fb-8018ffda0643" targetNamespace="http://schemas.microsoft.com/office/2006/metadata/properties" ma:root="true" ma:fieldsID="39e949e9cdd324c461cf4edfc1db8ed7" ns2:_="" ns3:_="">
    <xsd:import namespace="f14003d8-189c-4848-b6f8-25bad7f35840"/>
    <xsd:import namespace="5c42ad33-de3f-4e14-a3fb-8018ffda0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Category"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003d8-189c-4848-b6f8-25bad7f35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ategory" ma:index="20" nillable="true" ma:displayName="Category" ma:description="Type of document for filing" ma:format="Dropdown" ma:internalName="Category">
      <xsd:simpleType>
        <xsd:union memberTypes="dms:Text">
          <xsd:simpleType>
            <xsd:restriction base="dms:Choice">
              <xsd:enumeration value="Consultation response"/>
              <xsd:enumeration value="Letter"/>
              <xsd:enumeration value="SCoRSS UC subgroup"/>
              <xsd:enumeration value="DWP data"/>
              <xsd:enumeration value="CAB data"/>
            </xsd:restriction>
          </xsd:simpleType>
        </xsd:union>
      </xsd:simpleType>
    </xsd:element>
    <xsd:element name="Owner" ma:index="2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42ad33-de3f-4e14-a3fb-8018ffda06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f14003d8-189c-4848-b6f8-25bad7f35840" xsi:nil="true"/>
    <Owner xmlns="f14003d8-189c-4848-b6f8-25bad7f35840">
      <UserInfo>
        <DisplayName/>
        <AccountId xsi:nil="true"/>
        <AccountType/>
      </UserInfo>
    </Owner>
  </documentManagement>
</p:properties>
</file>

<file path=customXml/itemProps1.xml><?xml version="1.0" encoding="utf-8"?>
<ds:datastoreItem xmlns:ds="http://schemas.openxmlformats.org/officeDocument/2006/customXml" ds:itemID="{47D7AAC2-3AE9-40B1-9406-FBCFE41F2069}">
  <ds:schemaRefs>
    <ds:schemaRef ds:uri="http://schemas.openxmlformats.org/officeDocument/2006/bibliography"/>
  </ds:schemaRefs>
</ds:datastoreItem>
</file>

<file path=customXml/itemProps2.xml><?xml version="1.0" encoding="utf-8"?>
<ds:datastoreItem xmlns:ds="http://schemas.openxmlformats.org/officeDocument/2006/customXml" ds:itemID="{307F9149-7C93-4E2A-8D4A-A1238BA521F9}">
  <ds:schemaRefs>
    <ds:schemaRef ds:uri="http://schemas.microsoft.com/sharepoint/v3/contenttype/forms"/>
  </ds:schemaRefs>
</ds:datastoreItem>
</file>

<file path=customXml/itemProps3.xml><?xml version="1.0" encoding="utf-8"?>
<ds:datastoreItem xmlns:ds="http://schemas.openxmlformats.org/officeDocument/2006/customXml" ds:itemID="{192074A6-B987-4FB1-8C83-E30E250D9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003d8-189c-4848-b6f8-25bad7f35840"/>
    <ds:schemaRef ds:uri="5c42ad33-de3f-4e14-a3fb-8018ffda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5FFCA-0508-477B-8373-1A4649FC2A82}">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f14003d8-189c-4848-b6f8-25bad7f35840"/>
    <ds:schemaRef ds:uri="http://schemas.microsoft.com/office/infopath/2007/PartnerControls"/>
    <ds:schemaRef ds:uri="5c42ad33-de3f-4e14-a3fb-8018ffda064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Deery</dc:creator>
  <cp:keywords/>
  <dc:description/>
  <cp:lastModifiedBy>Aoife Deery</cp:lastModifiedBy>
  <cp:revision>2</cp:revision>
  <dcterms:created xsi:type="dcterms:W3CDTF">2021-08-03T10:29:00Z</dcterms:created>
  <dcterms:modified xsi:type="dcterms:W3CDTF">2021-08-03T10:29:00Z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0x01010038821D8D7D19C24F993AB204CCB9600A</vt:lpwstr>
  </property>
</Properties>
</file>